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 80</w:t>
      </w:r>
    </w:p>
    <w:p>
      <w:pPr>
        <w:jc w:val="center"/>
      </w:pPr>
      <w:r>
        <w:rPr>
          <w:b/>
          <w:color w:val="2F5597"/>
          <w:sz w:val="28"/>
        </w:rPr>
        <w:t>Production Investigation and Proposed Audit Diff</w:t>
      </w:r>
    </w:p>
    <w:p>
      <w:pPr>
        <w:jc w:val="center"/>
      </w:pPr>
      <w:r>
        <w:rPr>
          <w:i/>
        </w:rPr>
        <w:t>Pre-application review • 13 September 2026</w:t>
      </w:r>
    </w:p>
    <w:p>
      <w:pPr>
        <w:jc w:val="center"/>
      </w:pPr>
      <w:r>
        <w:rPr>
          <w:b/>
          <w:color w:val="9C0006"/>
        </w:rPr>
        <w:t>READ-ONLY: no code changes, source loads, rebuilds, unfreezes, or production mutations were performed.</w:t>
      </w:r>
    </w:p>
    <w:p>
      <w:pPr>
        <w:pStyle w:val="Heading1"/>
      </w:pPr>
      <w:r>
        <w:t>Executive conclusion</w:t>
      </w:r>
    </w:p>
    <w:p>
      <w:pPr>
        <w:pStyle w:val="ListBullet"/>
      </w:pPr>
      <w:r>
        <w:t>At 07:27 UTC, the hourly scheduler ran a primary register sync, not a secondary SKU load.</w:t>
      </w:r>
    </w:p>
    <w:p>
      <w:pPr>
        <w:pStyle w:val="ListBullet"/>
      </w:pPr>
      <w:r>
        <w:t>The run read and replaced 12,870 primary rows worth ₹304,193,273.69; added, removed, and changed counts were all zero.</w:t>
      </w:r>
    </w:p>
    <w:p>
      <w:pPr>
        <w:pStyle w:val="ListBullet"/>
      </w:pPr>
      <w:r>
        <w:t>August secondary SKU detail was never loaded through the controlled production path into secondary_sku_line. The 12,870-row baseline belongs to sale_line.</w:t>
      </w:r>
    </w:p>
    <w:p>
      <w:pPr>
        <w:pStyle w:val="ListBullet"/>
      </w:pPr>
      <w:r>
        <w:t>The shared register_month_state table has no source or fact-table discriminator, causing the primary baseline to look like secondary SKU history.</w:t>
      </w:r>
    </w:p>
    <w:p>
      <w:pPr>
        <w:pStyle w:val="ListBullet"/>
      </w:pPr>
      <w:r>
        <w:t>August 2026 remains open under the current four-month rule and freezes on 1 December 2026 at 00:00 IST. Section D3 is therefore skipped.</w:t>
      </w:r>
    </w:p>
    <w:p>
      <w:pPr>
        <w:pStyle w:val="ListBullet"/>
      </w:pPr>
      <w:r>
        <w:t>No current four-month-rule register_month_state row is calendar-frozen with frozen_at null. secondary_sku_month_state has zero production rows.</w:t>
      </w:r>
    </w:p>
    <w:p>
      <w:pPr>
        <w:pStyle w:val="ListBullet"/>
      </w:pPr>
      <w:r>
        <w:t>Audit check 7.6 should apply only to months with authoritative dual-write provenance; historical mirror absence must be N/A, not FAIL.</w:t>
      </w:r>
    </w:p>
    <w:p>
      <w:pPr>
        <w:pStyle w:val="Heading1"/>
      </w:pPr>
      <w:r>
        <w:t>1. Four-month rule correction</w:t>
      </w:r>
    </w:p>
    <w:p>
      <w:r>
        <w:t>The implementation freezes a month at IST midnight on the first day of the fourth following month. Product-Wise secondary SKU loading imports the same monthFreezeAt() and isMonthFrozen() functions used by monthly replacement.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83"/>
            <w:vAlign w:val="center"/>
          </w:tcPr>
          <w:p>
            <w:r>
              <w:t>August 2026 freeze instant</w:t>
            </w:r>
          </w:p>
        </w:tc>
        <w:tc>
          <w:tcPr>
            <w:tcW w:type="dxa" w:w="5083"/>
            <w:vAlign w:val="center"/>
          </w:tcPr>
          <w:p>
            <w:r>
              <w:t>1 December 2026, 00:00 IST</w:t>
            </w:r>
          </w:p>
        </w:tc>
      </w:tr>
      <w:tr>
        <w:tc>
          <w:tcPr>
            <w:tcW w:type="dxa" w:w="5083"/>
            <w:vAlign w:val="center"/>
          </w:tcPr>
          <w:p>
            <w:r>
              <w:t>UTC equivalent</w:t>
            </w:r>
          </w:p>
        </w:tc>
        <w:tc>
          <w:tcPr>
            <w:tcW w:type="dxa" w:w="5083"/>
            <w:vAlign w:val="center"/>
          </w:tcPr>
          <w:p>
            <w:r>
              <w:t>30 November 2026, 18:30 UTC</w:t>
            </w:r>
          </w:p>
        </w:tc>
      </w:tr>
      <w:tr>
        <w:tc>
          <w:tcPr>
            <w:tcW w:type="dxa" w:w="5083"/>
            <w:vAlign w:val="center"/>
          </w:tcPr>
          <w:p>
            <w:r>
              <w:t>Production frozen_at</w:t>
            </w:r>
          </w:p>
        </w:tc>
        <w:tc>
          <w:tcPr>
            <w:tcW w:type="dxa" w:w="5083"/>
            <w:vAlign w:val="center"/>
          </w:tcPr>
          <w:p>
            <w:r>
              <w:t>null</w:t>
            </w:r>
          </w:p>
        </w:tc>
      </w:tr>
      <w:tr>
        <w:tc>
          <w:tcPr>
            <w:tcW w:type="dxa" w:w="5083"/>
            <w:vAlign w:val="center"/>
          </w:tcPr>
          <w:p>
            <w:r>
              <w:t>Status on 13 September 2026</w:t>
            </w:r>
          </w:p>
        </w:tc>
        <w:tc>
          <w:tcPr>
            <w:tcW w:type="dxa" w:w="5083"/>
            <w:vAlign w:val="center"/>
          </w:tcPr>
          <w:p>
            <w:r>
              <w:t>OPEN</w:t>
            </w:r>
          </w:p>
        </w:tc>
      </w:tr>
    </w:tbl>
    <w:p/>
    <w:p>
      <w:r>
        <w:t>The SKU canary uses a separate completion clock: a month becomes complete at the first UTC instant of the next month. August therefore became canary-complete on 1 September 2026 even though it remains writable until 1 December. This explains the 7 September canary failure without implying that August was frozen.</w:t>
      </w:r>
    </w:p>
    <w:p>
      <w:r>
        <w:t>A stale Product-Wise unit test still expects the former 7 September freeze behavior and conflicts with the current implementation.</w:t>
      </w:r>
    </w:p>
    <w:p>
      <w:pPr>
        <w:pStyle w:val="Heading1"/>
      </w:pPr>
      <w:r>
        <w:t>2. Section A — What ran at 07:27 UTC</w:t>
      </w:r>
    </w:p>
    <w:p>
      <w:pPr>
        <w:pStyle w:val="Heading2"/>
      </w:pPr>
      <w:r>
        <w:t>A1. Exact production 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Production value</w:t>
            </w:r>
          </w:p>
        </w:tc>
      </w:tr>
      <w:tr>
        <w:tc>
          <w:tcPr>
            <w:tcW w:type="dxa" w:w="5083"/>
            <w:vAlign w:val="center"/>
          </w:tcPr>
          <w:p>
            <w:r>
              <w:t>Ledger ID</w:t>
            </w:r>
          </w:p>
        </w:tc>
        <w:tc>
          <w:tcPr>
            <w:tcW w:type="dxa" w:w="5083"/>
            <w:vAlign w:val="center"/>
          </w:tcPr>
          <w:p>
            <w:r>
              <w:t>463</w:t>
            </w:r>
          </w:p>
        </w:tc>
      </w:tr>
      <w:tr>
        <w:tc>
          <w:tcPr>
            <w:tcW w:type="dxa" w:w="5083"/>
            <w:vAlign w:val="center"/>
          </w:tcPr>
          <w:p>
            <w:r>
              <w:t>Run ID</w:t>
            </w:r>
          </w:p>
        </w:tc>
        <w:tc>
          <w:tcPr>
            <w:tcW w:type="dxa" w:w="5083"/>
            <w:vAlign w:val="center"/>
          </w:tcPr>
          <w:p>
            <w:r>
              <w:t>hourly-2026-27-2026-09-13T07</w:t>
            </w:r>
          </w:p>
        </w:tc>
      </w:tr>
      <w:tr>
        <w:tc>
          <w:tcPr>
            <w:tcW w:type="dxa" w:w="5083"/>
            <w:vAlign w:val="center"/>
          </w:tcPr>
          <w:p>
            <w:r>
              <w:t>Trigger</w:t>
            </w:r>
          </w:p>
        </w:tc>
        <w:tc>
          <w:tcPr>
            <w:tcW w:type="dxa" w:w="5083"/>
            <w:vAlign w:val="center"/>
          </w:tcPr>
          <w:p>
            <w:r>
              <w:t>Hourly scheduler</w:t>
            </w:r>
          </w:p>
        </w:tc>
      </w:tr>
      <w:tr>
        <w:tc>
          <w:tcPr>
            <w:tcW w:type="dxa" w:w="5083"/>
            <w:vAlign w:val="center"/>
          </w:tcPr>
          <w:p>
            <w:r>
              <w:t>Actor</w:t>
            </w:r>
          </w:p>
        </w:tc>
        <w:tc>
          <w:tcPr>
            <w:tcW w:type="dxa" w:w="5083"/>
            <w:vAlign w:val="center"/>
          </w:tcPr>
          <w:p>
            <w:r>
              <w:t>scheduler</w:t>
            </w:r>
          </w:p>
        </w:tc>
      </w:tr>
      <w:tr>
        <w:tc>
          <w:tcPr>
            <w:tcW w:type="dxa" w:w="5083"/>
            <w:vAlign w:val="center"/>
          </w:tcPr>
          <w:p>
            <w:r>
              <w:t>Source</w:t>
            </w:r>
          </w:p>
        </w:tc>
        <w:tc>
          <w:tcPr>
            <w:tcW w:type="dxa" w:w="5083"/>
            <w:vAlign w:val="center"/>
          </w:tcPr>
          <w:p>
            <w:r>
              <w:t>register_sheets_sync</w:t>
            </w:r>
          </w:p>
        </w:tc>
      </w:tr>
      <w:tr>
        <w:tc>
          <w:tcPr>
            <w:tcW w:type="dxa" w:w="5083"/>
            <w:vAlign w:val="center"/>
          </w:tcPr>
          <w:p>
            <w:r>
              <w:t>Attempted</w:t>
            </w:r>
          </w:p>
        </w:tc>
        <w:tc>
          <w:tcPr>
            <w:tcW w:type="dxa" w:w="5083"/>
            <w:vAlign w:val="center"/>
          </w:tcPr>
          <w:p>
            <w:r>
              <w:t>13 Sep 2026, 07:27:13 UTC</w:t>
            </w:r>
          </w:p>
        </w:tc>
      </w:tr>
      <w:tr>
        <w:tc>
          <w:tcPr>
            <w:tcW w:type="dxa" w:w="5083"/>
            <w:vAlign w:val="center"/>
          </w:tcPr>
          <w:p>
            <w:r>
              <w:t>Completed</w:t>
            </w:r>
          </w:p>
        </w:tc>
        <w:tc>
          <w:tcPr>
            <w:tcW w:type="dxa" w:w="5083"/>
            <w:vAlign w:val="center"/>
          </w:tcPr>
          <w:p>
            <w:r>
              <w:t>13 Sep 2026, 07:27:25 UTC</w:t>
            </w:r>
          </w:p>
        </w:tc>
      </w:tr>
      <w:tr>
        <w:tc>
          <w:tcPr>
            <w:tcW w:type="dxa" w:w="5083"/>
            <w:vAlign w:val="center"/>
          </w:tcPr>
          <w:p>
            <w:r>
              <w:t>Outcome</w:t>
            </w:r>
          </w:p>
        </w:tc>
        <w:tc>
          <w:tcPr>
            <w:tcW w:type="dxa" w:w="5083"/>
            <w:vAlign w:val="center"/>
          </w:tcPr>
          <w:p>
            <w:r>
              <w:t>replaced</w:t>
            </w:r>
          </w:p>
        </w:tc>
      </w:tr>
      <w:tr>
        <w:tc>
          <w:tcPr>
            <w:tcW w:type="dxa" w:w="5083"/>
            <w:vAlign w:val="center"/>
          </w:tcPr>
          <w:p>
            <w:r>
              <w:t>Atomicity</w:t>
            </w:r>
          </w:p>
        </w:tc>
        <w:tc>
          <w:tcPr>
            <w:tcW w:type="dxa" w:w="5083"/>
            <w:vAlign w:val="center"/>
          </w:tcPr>
          <w:p>
            <w:r>
              <w:t>same-replacement-transaction</w:t>
            </w:r>
          </w:p>
        </w:tc>
      </w:tr>
    </w:tbl>
    <w:p/>
    <w:p>
      <w:r>
        <w:t>Source: production register_monthly_ingest_ledger. This was a primary register sync into sale_line_all, not a secondary SKU load.</w:t>
      </w:r>
    </w:p>
    <w:p>
      <w:pPr>
        <w:pStyle w:val="Heading2"/>
      </w:pPr>
      <w:r>
        <w:t>A2. Before, source, written, and after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Rows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89"/>
            <w:vAlign w:val="center"/>
          </w:tcPr>
          <w:p>
            <w:r>
              <w:t>Before</w:t>
            </w:r>
          </w:p>
        </w:tc>
        <w:tc>
          <w:tcPr>
            <w:tcW w:type="dxa" w:w="3389"/>
            <w:vAlign w:val="center"/>
          </w:tcPr>
          <w:p>
            <w:r>
              <w:t>12,870</w:t>
            </w:r>
          </w:p>
        </w:tc>
        <w:tc>
          <w:tcPr>
            <w:tcW w:type="dxa" w:w="3389"/>
            <w:vAlign w:val="center"/>
          </w:tcPr>
          <w:p>
            <w:r>
              <w:t>₹304,193,273.69</w:t>
            </w:r>
          </w:p>
        </w:tc>
      </w:tr>
      <w:tr>
        <w:tc>
          <w:tcPr>
            <w:tcW w:type="dxa" w:w="3389"/>
            <w:vAlign w:val="center"/>
          </w:tcPr>
          <w:p>
            <w:r>
              <w:t>Source read</w:t>
            </w:r>
          </w:p>
        </w:tc>
        <w:tc>
          <w:tcPr>
            <w:tcW w:type="dxa" w:w="3389"/>
            <w:vAlign w:val="center"/>
          </w:tcPr>
          <w:p>
            <w:r>
              <w:t>12,870</w:t>
            </w:r>
          </w:p>
        </w:tc>
        <w:tc>
          <w:tcPr>
            <w:tcW w:type="dxa" w:w="3389"/>
            <w:vAlign w:val="center"/>
          </w:tcPr>
          <w:p>
            <w:r>
              <w:t>₹304,193,273.69</w:t>
            </w:r>
          </w:p>
        </w:tc>
      </w:tr>
      <w:tr>
        <w:tc>
          <w:tcPr>
            <w:tcW w:type="dxa" w:w="3389"/>
            <w:vAlign w:val="center"/>
          </w:tcPr>
          <w:p>
            <w:r>
              <w:t>Rows written</w:t>
            </w:r>
          </w:p>
        </w:tc>
        <w:tc>
          <w:tcPr>
            <w:tcW w:type="dxa" w:w="3389"/>
            <w:vAlign w:val="center"/>
          </w:tcPr>
          <w:p>
            <w:r>
              <w:t>12,870</w:t>
            </w:r>
          </w:p>
        </w:tc>
        <w:tc>
          <w:tcPr>
            <w:tcW w:type="dxa" w:w="3389"/>
            <w:vAlign w:val="center"/>
          </w:tcPr>
          <w:p>
            <w:r>
              <w:t>—</w:t>
            </w:r>
          </w:p>
        </w:tc>
      </w:tr>
      <w:tr>
        <w:tc>
          <w:tcPr>
            <w:tcW w:type="dxa" w:w="3389"/>
            <w:vAlign w:val="center"/>
          </w:tcPr>
          <w:p>
            <w:r>
              <w:t>After</w:t>
            </w:r>
          </w:p>
        </w:tc>
        <w:tc>
          <w:tcPr>
            <w:tcW w:type="dxa" w:w="3389"/>
            <w:vAlign w:val="center"/>
          </w:tcPr>
          <w:p>
            <w:r>
              <w:t>12,870</w:t>
            </w:r>
          </w:p>
        </w:tc>
        <w:tc>
          <w:tcPr>
            <w:tcW w:type="dxa" w:w="3389"/>
            <w:vAlign w:val="center"/>
          </w:tcPr>
          <w:p>
            <w:r>
              <w:t>₹304,193,273.69</w:t>
            </w:r>
          </w:p>
        </w:tc>
      </w:tr>
      <w:tr>
        <w:tc>
          <w:tcPr>
            <w:tcW w:type="dxa" w:w="3389"/>
            <w:vAlign w:val="center"/>
          </w:tcPr>
          <w:p>
            <w:r>
              <w:t>Added</w:t>
            </w:r>
          </w:p>
        </w:tc>
        <w:tc>
          <w:tcPr>
            <w:tcW w:type="dxa" w:w="3389"/>
            <w:vAlign w:val="center"/>
          </w:tcPr>
          <w:p>
            <w:r>
              <w:t>0</w:t>
            </w:r>
          </w:p>
        </w:tc>
        <w:tc>
          <w:tcPr>
            <w:tcW w:type="dxa" w:w="3389"/>
            <w:vAlign w:val="center"/>
          </w:tcPr>
          <w:p>
            <w:r>
              <w:t>—</w:t>
            </w:r>
          </w:p>
        </w:tc>
      </w:tr>
      <w:tr>
        <w:tc>
          <w:tcPr>
            <w:tcW w:type="dxa" w:w="3389"/>
            <w:vAlign w:val="center"/>
          </w:tcPr>
          <w:p>
            <w:r>
              <w:t>Removed</w:t>
            </w:r>
          </w:p>
        </w:tc>
        <w:tc>
          <w:tcPr>
            <w:tcW w:type="dxa" w:w="3389"/>
            <w:vAlign w:val="center"/>
          </w:tcPr>
          <w:p>
            <w:r>
              <w:t>0</w:t>
            </w:r>
          </w:p>
        </w:tc>
        <w:tc>
          <w:tcPr>
            <w:tcW w:type="dxa" w:w="3389"/>
            <w:vAlign w:val="center"/>
          </w:tcPr>
          <w:p>
            <w:r>
              <w:t>—</w:t>
            </w:r>
          </w:p>
        </w:tc>
      </w:tr>
      <w:tr>
        <w:tc>
          <w:tcPr>
            <w:tcW w:type="dxa" w:w="3389"/>
            <w:vAlign w:val="center"/>
          </w:tcPr>
          <w:p>
            <w:r>
              <w:t>Changed</w:t>
            </w:r>
          </w:p>
        </w:tc>
        <w:tc>
          <w:tcPr>
            <w:tcW w:type="dxa" w:w="3389"/>
            <w:vAlign w:val="center"/>
          </w:tcPr>
          <w:p>
            <w:r>
              <w:t>0</w:t>
            </w:r>
          </w:p>
        </w:tc>
        <w:tc>
          <w:tcPr>
            <w:tcW w:type="dxa" w:w="3389"/>
            <w:vAlign w:val="center"/>
          </w:tcPr>
          <w:p>
            <w:r>
              <w:t>—</w:t>
            </w:r>
          </w:p>
        </w:tc>
      </w:tr>
    </w:tbl>
    <w:p/>
    <w:p>
      <w:r>
        <w:t>The run did not write zero rows and did not replace a populated primary month with an empty month. It performed an unchanged full replacement.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Production object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Aug-26 rows</w:t>
            </w:r>
          </w:p>
        </w:tc>
        <w:tc>
          <w:tcPr>
            <w:tcW w:type="dxa" w:w="3389"/>
            <w:shd w:fill="D9EAF7"/>
            <w:vAlign w:val="center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89"/>
            <w:vAlign w:val="center"/>
          </w:tcPr>
          <w:p>
            <w:r>
              <w:t>sale_line_current</w:t>
            </w:r>
          </w:p>
        </w:tc>
        <w:tc>
          <w:tcPr>
            <w:tcW w:type="dxa" w:w="3389"/>
            <w:vAlign w:val="center"/>
          </w:tcPr>
          <w:p>
            <w:r>
              <w:t>12,870</w:t>
            </w:r>
          </w:p>
        </w:tc>
        <w:tc>
          <w:tcPr>
            <w:tcW w:type="dxa" w:w="3389"/>
            <w:vAlign w:val="center"/>
          </w:tcPr>
          <w:p>
            <w:r>
              <w:t>₹304,193,273.69</w:t>
            </w:r>
          </w:p>
        </w:tc>
      </w:tr>
      <w:tr>
        <w:tc>
          <w:tcPr>
            <w:tcW w:type="dxa" w:w="3389"/>
            <w:vAlign w:val="center"/>
          </w:tcPr>
          <w:p>
            <w:r>
              <w:t>sale_line_all (current)</w:t>
            </w:r>
          </w:p>
        </w:tc>
        <w:tc>
          <w:tcPr>
            <w:tcW w:type="dxa" w:w="3389"/>
            <w:vAlign w:val="center"/>
          </w:tcPr>
          <w:p>
            <w:r>
              <w:t>12,870</w:t>
            </w:r>
          </w:p>
        </w:tc>
        <w:tc>
          <w:tcPr>
            <w:tcW w:type="dxa" w:w="3389"/>
            <w:vAlign w:val="center"/>
          </w:tcPr>
          <w:p>
            <w:r>
              <w:t>₹304,193,273.69</w:t>
            </w:r>
          </w:p>
        </w:tc>
      </w:tr>
      <w:tr>
        <w:tc>
          <w:tcPr>
            <w:tcW w:type="dxa" w:w="3389"/>
            <w:vAlign w:val="center"/>
          </w:tcPr>
          <w:p>
            <w:r>
              <w:t>secondary_sku_line</w:t>
            </w:r>
          </w:p>
        </w:tc>
        <w:tc>
          <w:tcPr>
            <w:tcW w:type="dxa" w:w="3389"/>
            <w:vAlign w:val="center"/>
          </w:tcPr>
          <w:p>
            <w:r>
              <w:t>0</w:t>
            </w:r>
          </w:p>
        </w:tc>
        <w:tc>
          <w:tcPr>
            <w:tcW w:type="dxa" w:w="3389"/>
            <w:vAlign w:val="center"/>
          </w:tcPr>
          <w:p>
            <w:r>
              <w:t>₹0</w:t>
            </w:r>
          </w:p>
        </w:tc>
      </w:tr>
    </w:tbl>
    <w:p/>
    <w:p>
      <w:pPr>
        <w:pStyle w:val="Heading2"/>
      </w:pPr>
      <w:r>
        <w:t>A3. Origin of the 12,870 baseline</w:t>
      </w:r>
    </w:p>
    <w:p>
      <w:r>
        <w:t>The baseline came from the primary register. It exactly matches the primary ledger and sale_line_current. Controlled secondary SKU activity for August is absent:</w:t>
      </w:r>
    </w:p>
    <w:p>
      <w:pPr>
        <w:pStyle w:val="ListBullet"/>
      </w:pPr>
      <w:r>
        <w:t>secondary_sku_load_provenance: 0 August rows</w:t>
      </w:r>
    </w:p>
    <w:p>
      <w:pPr>
        <w:pStyle w:val="ListBullet"/>
      </w:pPr>
      <w:r>
        <w:t>secondary_sku_month_state: 0 August rows</w:t>
      </w:r>
    </w:p>
    <w:p>
      <w:pPr>
        <w:pStyle w:val="ListBullet"/>
      </w:pPr>
      <w:r>
        <w:t>secondary_sku_line: 0 August rows</w:t>
      </w:r>
    </w:p>
    <w:p>
      <w:pPr>
        <w:pStyle w:val="ListBullet"/>
      </w:pPr>
      <w:r>
        <w:t>Controlled secondary ingest runs touching August: none</w:t>
      </w:r>
    </w:p>
    <w:p>
      <w:pPr>
        <w:pStyle w:val="Heading2"/>
      </w:pPr>
      <w:r>
        <w:t>A4. Shared-state finding</w:t>
      </w:r>
    </w:p>
    <w:p>
      <w:r>
        <w:t>register_month_state is shared by primary monthly replacement and Product-Wise secondary SKU loading, but it has no fact-table or source discriminator. Its last_good_rows, last_good_amount, and last_replaced_at currently describe the primary scheduler. Another primary sync at 08:27 UTC advanced the shared state again.</w:t>
      </w:r>
    </w:p>
    <w:p>
      <w:pPr>
        <w:pStyle w:val="Heading2"/>
      </w:pPr>
      <w:r>
        <w:t>A5. Deletion evidence</w:t>
      </w:r>
    </w:p>
    <w:p>
      <w:pPr>
        <w:pStyle w:val="ListBullet"/>
      </w:pPr>
      <w:r>
        <w:t>The 07:27 primary run used full replacement but recorded zero semantic additions, removals, and changes.</w:t>
      </w:r>
    </w:p>
    <w:p>
      <w:pPr>
        <w:pStyle w:val="ListBullet"/>
      </w:pPr>
      <w:r>
        <w:t>A frozen-drift archive from 8 September contains 12,878 primary physical rows from a prior premature-freeze reconciliation. It concerns sale_line_all, not secondary_sku_line.</w:t>
      </w:r>
    </w:p>
    <w:p>
      <w:pPr>
        <w:pStyle w:val="ListBullet"/>
      </w:pPr>
      <w:r>
        <w:t>No secondary provenance shows a previous controlled August SKU load. There is no evidence that August secondary rows were deleted.</w:t>
      </w:r>
    </w:p>
    <w:p>
      <w:pPr>
        <w:pStyle w:val="ListBullet"/>
      </w:pPr>
      <w:r>
        <w:t>The secondary schema does not retain a full deleted-row before-image, so an unrecorded manual delete could not be disproved absolutely; the controlled loader path nevertheless shows no August load.</w:t>
      </w:r>
    </w:p>
    <w:p>
      <w:pPr>
        <w:pStyle w:val="Heading1"/>
      </w:pPr>
      <w:r>
        <w:t>3. Section D — Classification and sweep</w:t>
      </w:r>
    </w:p>
    <w:p>
      <w:pPr>
        <w:pStyle w:val="Heading2"/>
      </w:pPr>
      <w:r>
        <w:t>D1. Classification</w:t>
      </w:r>
    </w:p>
    <w:p>
      <w:r>
        <w:rPr>
          <w:b/>
        </w:rPr>
        <w:t>Loaded into a different table and never into secondary_sku_line.</w:t>
      </w:r>
    </w:p>
    <w:p>
      <w:r>
        <w:t>The 12,870-row source was loaded into primary sale_line_all/sale_line_current. No controlled Product-Wise or secondary SKU load is recorded for August.</w:t>
      </w:r>
    </w:p>
    <w:p>
      <w:pPr>
        <w:pStyle w:val="Heading2"/>
      </w:pPr>
      <w:r>
        <w:t>D2. Why last_good_rows says 12,870</w:t>
      </w:r>
    </w:p>
    <w:p>
      <w:r>
        <w:t>Because the shared register_month_state row was updated by the primary register scheduler. It is not evidence of a prior August SKU load.</w:t>
      </w:r>
    </w:p>
    <w:p>
      <w:pPr>
        <w:pStyle w:val="Heading2"/>
      </w:pPr>
      <w:r>
        <w:t>D3. Controlled August load</w:t>
      </w:r>
    </w:p>
    <w:p>
      <w:r>
        <w:t>Skipped because August is open. The normal Product-Wise loader may accept an August retailer/item export, subject to its validation, continuity, wipe, and transactional verification guards.</w:t>
      </w:r>
    </w:p>
    <w:p>
      <w:pPr>
        <w:pStyle w:val="Heading2"/>
      </w:pPr>
      <w:r>
        <w:t>D4. Frozen/null sweep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Sweep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5083"/>
            <w:vAlign w:val="center"/>
          </w:tcPr>
          <w:p>
            <w:r>
              <w:t>register_month_state calendar-frozen under current four-month rule with frozen_at null</w:t>
            </w:r>
          </w:p>
        </w:tc>
        <w:tc>
          <w:tcPr>
            <w:tcW w:type="dxa" w:w="5083"/>
            <w:vAlign w:val="center"/>
          </w:tcPr>
          <w:p>
            <w:r>
              <w:t>0</w:t>
            </w:r>
          </w:p>
        </w:tc>
      </w:tr>
      <w:tr>
        <w:tc>
          <w:tcPr>
            <w:tcW w:type="dxa" w:w="5083"/>
            <w:vAlign w:val="center"/>
          </w:tcPr>
          <w:p>
            <w:r>
              <w:t>secondary_sku_month_state production rows</w:t>
            </w:r>
          </w:p>
        </w:tc>
        <w:tc>
          <w:tcPr>
            <w:tcW w:type="dxa" w:w="5083"/>
            <w:vAlign w:val="center"/>
          </w:tcPr>
          <w:p>
            <w:r>
              <w:t>0 total</w:t>
            </w:r>
          </w:p>
        </w:tc>
      </w:tr>
    </w:tbl>
    <w:p/>
    <w:p>
      <w:r>
        <w:br w:type="page"/>
      </w:r>
    </w:p>
    <w:p>
      <w:pPr>
        <w:pStyle w:val="Heading1"/>
      </w:pPr>
      <w:r>
        <w:t>4. Proposed Section B diff — audit manifest</w:t>
      </w:r>
    </w:p>
    <w:p>
      <w:r>
        <w:t>Status: NOT APPLIED. The manifest must be declared inside each group before dependency work starts. A route-only wrapper cannot recover dynamic keys after a group has failed.</w:t>
      </w:r>
    </w:p>
    <w:p>
      <w:pPr>
        <w:pStyle w:val="Heading2"/>
      </w:pPr>
      <w:r>
        <w:t>Contract changes</w:t>
      </w:r>
    </w:p>
    <w:p>
      <w:pPr>
        <w:pStyle w:val="CodeBlock"/>
      </w:pPr>
      <w:r>
        <w:t>export type HealthCheck = {</w:t>
      </w:r>
    </w:p>
    <w:p>
      <w:pPr>
        <w:pStyle w:val="CodeBlock"/>
      </w:pPr>
      <w:r>
        <w:t xml:space="preserve">  key: string;</w:t>
      </w:r>
    </w:p>
    <w:p>
      <w:pPr>
        <w:pStyle w:val="CodeBlock"/>
      </w:pPr>
      <w:r>
        <w:t xml:space="preserve">  ...</w:t>
      </w:r>
    </w:p>
    <w:p>
      <w:pPr>
        <w:pStyle w:val="CodeBlock"/>
      </w:pPr>
      <w:r>
        <w:t>+ evaluation?: "evaluated" | "not_evaluated";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type CheckGroup = {</w:t>
      </w:r>
    </w:p>
    <w:p>
      <w:pPr>
        <w:pStyle w:val="CodeBlock"/>
      </w:pPr>
      <w:r>
        <w:t xml:space="preserve">  id: string;</w:t>
      </w:r>
    </w:p>
    <w:p>
      <w:pPr>
        <w:pStyle w:val="CodeBlock"/>
      </w:pPr>
      <w:r>
        <w:t xml:space="preserve">  label: string;</w:t>
      </w:r>
    </w:p>
    <w:p>
      <w:pPr>
        <w:pStyle w:val="CodeBlock"/>
      </w:pPr>
      <w:r>
        <w:t xml:space="preserve">  available: boolean;</w:t>
      </w:r>
    </w:p>
    <w:p>
      <w:pPr>
        <w:pStyle w:val="CodeBlock"/>
      </w:pPr>
      <w:r>
        <w:t xml:space="preserve">  checks: HealthCheck[];</w:t>
      </w:r>
    </w:p>
    <w:p>
      <w:pPr>
        <w:pStyle w:val="CodeBlock"/>
      </w:pPr>
      <w:r>
        <w:t>+ expectedKeys: Array&lt;{ key: string; label: string; unit: HealthCheck["unit"] }&gt;;</w:t>
      </w:r>
    </w:p>
    <w:p>
      <w:pPr>
        <w:pStyle w:val="CodeBlock"/>
      </w:pPr>
      <w:r>
        <w:t>+ totals: { expected: number; evaluated: number; notEvaluated: number };</w:t>
      </w:r>
    </w:p>
    <w:p>
      <w:pPr>
        <w:pStyle w:val="CodeBlock"/>
      </w:pPr>
      <w:r>
        <w:t>};</w:t>
      </w:r>
    </w:p>
    <w:p>
      <w:pPr>
        <w:pStyle w:val="CodeBlock"/>
      </w:pPr>
    </w:p>
    <w:p>
      <w:pPr>
        <w:pStyle w:val="CodeBlock"/>
      </w:pPr>
      <w:r>
        <w:t>export type FullVerifyReport = {</w:t>
      </w:r>
    </w:p>
    <w:p>
      <w:pPr>
        <w:pStyle w:val="CodeBlock"/>
      </w:pPr>
      <w:r>
        <w:t xml:space="preserve">  ...</w:t>
      </w:r>
    </w:p>
    <w:p>
      <w:pPr>
        <w:pStyle w:val="CodeBlock"/>
      </w:pPr>
      <w:r>
        <w:t>+ totals: { expected: number; evaluated: number; notEvaluated: number };</w:t>
      </w:r>
    </w:p>
    <w:p>
      <w:pPr>
        <w:pStyle w:val="CodeBlock"/>
      </w:pPr>
      <w:r>
        <w:t>};</w:t>
      </w:r>
    </w:p>
    <w:p>
      <w:pPr>
        <w:pStyle w:val="Heading2"/>
      </w:pPr>
      <w:r>
        <w:t>Finalization behavior</w:t>
      </w:r>
    </w:p>
    <w:p>
      <w:pPr>
        <w:pStyle w:val="CodeBlock"/>
      </w:pPr>
      <w:r>
        <w:t>+ export function finalizeCheckGroup(group, unavailableReason): CheckGroup {</w:t>
      </w:r>
    </w:p>
    <w:p>
      <w:pPr>
        <w:pStyle w:val="CodeBlock"/>
      </w:pPr>
      <w:r>
        <w:t>+   // Match produced checks to the predeclared manifest.</w:t>
      </w:r>
    </w:p>
    <w:p>
      <w:pPr>
        <w:pStyle w:val="CodeBlock"/>
      </w:pPr>
      <w:r>
        <w:t>+   // Every missing expected key becomes an explicit row:</w:t>
      </w:r>
    </w:p>
    <w:p>
      <w:pPr>
        <w:pStyle w:val="CodeBlock"/>
      </w:pPr>
      <w:r>
        <w:t>+   // status = "skip"</w:t>
      </w:r>
    </w:p>
    <w:p>
      <w:pPr>
        <w:pStyle w:val="CodeBlock"/>
      </w:pPr>
      <w:r>
        <w:t>+   // evaluation = "not_evaluated"</w:t>
      </w:r>
    </w:p>
    <w:p>
      <w:pPr>
        <w:pStyle w:val="CodeBlock"/>
      </w:pPr>
      <w:r>
        <w:t>+   // note = the dependency/group failure reason</w:t>
      </w:r>
    </w:p>
    <w:p>
      <w:pPr>
        <w:pStyle w:val="CodeBlock"/>
      </w:pPr>
      <w:r>
        <w:t>+   // Calculate expected/evaluated/notEvaluated totals.</w:t>
      </w:r>
    </w:p>
    <w:p>
      <w:pPr>
        <w:pStyle w:val="CodeBlock"/>
      </w:pPr>
      <w:r>
        <w:t>+ }</w:t>
      </w:r>
    </w:p>
    <w:p>
      <w:r>
        <w:t>Existing pass, warn, fail, skip, and pending outcomes remain unchanged. The separate evaluation field distinguishes a legitimate N/A/skip from a check that did not run.</w:t>
      </w:r>
    </w:p>
    <w:p>
      <w:pPr>
        <w:pStyle w:val="Heading2"/>
      </w:pPr>
      <w:r>
        <w:t>Groups requiring predeclared manifests</w:t>
      </w:r>
    </w:p>
    <w:p>
      <w:pPr>
        <w:pStyle w:val="ListBullet"/>
      </w:pPr>
      <w:r>
        <w:t>Core: targets/achievement; sale/order booking; secondary; primary; name match; source health</w:t>
      </w:r>
    </w:p>
    <w:p>
      <w:pPr>
        <w:pStyle w:val="ListBullet"/>
      </w:pPr>
      <w:r>
        <w:t>Extra: truncation; report logic; cross-foot; pending cross-check; SAP lag; frozen anchors; secondary pipeline; SKU canary; Product-Wise freshness</w:t>
      </w:r>
    </w:p>
    <w:p>
      <w:pPr>
        <w:pStyle w:val="Heading2"/>
      </w:pPr>
      <w:r>
        <w:t>Route, UI, workbook, and verification changes</w:t>
      </w:r>
    </w:p>
    <w:p>
      <w:pPr>
        <w:pStyle w:val="ListBullet"/>
      </w:pPr>
      <w:r>
        <w:t>audit.ts aggregates expected, evaluated, and not-evaluated totals after group finalization.</w:t>
      </w:r>
    </w:p>
    <w:p>
      <w:pPr>
        <w:pStyle w:val="ListBullet"/>
      </w:pPr>
      <w:r>
        <w:t>Data Health displays all three totals and a visible stale/refreshing snapshot banner with snapshot timestamp.</w:t>
      </w:r>
    </w:p>
    <w:p>
      <w:pPr>
        <w:pStyle w:val="ListBullet"/>
      </w:pPr>
      <w:r>
        <w:t>The audit workbook includes explicit not-evaluated rows instead of silently omitting checks.</w:t>
      </w:r>
    </w:p>
    <w:p>
      <w:pPr>
        <w:pStyle w:val="ListBullet"/>
      </w:pPr>
      <w:r>
        <w:t>The post-publish verifier waits for a non-refreshing payload and validates the manifest totals.</w:t>
      </w:r>
    </w:p>
    <w:p>
      <w:pPr>
        <w:pStyle w:val="ListBullet"/>
      </w:pPr>
      <w:r>
        <w:t>Tests cover throwing groups, missing keys, dynamic-key stability, duplicate manifest keys, reconciled totals, snapshot state, workbook output, and unchanged existing outcomes.</w:t>
      </w:r>
    </w:p>
    <w:p>
      <w:pPr>
        <w:pStyle w:val="Heading1"/>
      </w:pPr>
      <w:r>
        <w:t>5. Proposed Section C diff — check 7.6 scope</w:t>
      </w:r>
    </w:p>
    <w:p>
      <w:r>
        <w:t>Status: NOT APPLIED. Applicability comes from authoritative secondary_sku_load_provenance, never from mirror presence or historical SKU-row presence.</w:t>
      </w:r>
    </w:p>
    <w:p>
      <w:pPr>
        <w:pStyle w:val="CodeBlock"/>
      </w:pPr>
      <w:r>
        <w:t>@@ check cf_7_6_sku_vs_brand_mirror</w:t>
      </w:r>
    </w:p>
    <w:p>
      <w:pPr>
        <w:pStyle w:val="CodeBlock"/>
      </w:pPr>
      <w:r>
        <w:t>+ const provenanceRes = await pool.query(</w:t>
      </w:r>
    </w:p>
    <w:p>
      <w:pPr>
        <w:pStyle w:val="CodeBlock"/>
      </w:pPr>
      <w:r>
        <w:t>+   `SELECT DISTINCT month_label</w:t>
      </w:r>
    </w:p>
    <w:p>
      <w:pPr>
        <w:pStyle w:val="CodeBlock"/>
      </w:pPr>
      <w:r>
        <w:t>+      FROM secondary_sku_load_provenance</w:t>
      </w:r>
    </w:p>
    <w:p>
      <w:pPr>
        <w:pStyle w:val="CodeBlock"/>
      </w:pPr>
      <w:r>
        <w:t>+     WHERE fy = $1</w:t>
      </w:r>
    </w:p>
    <w:p>
      <w:pPr>
        <w:pStyle w:val="CodeBlock"/>
      </w:pPr>
      <w:r>
        <w:t>+       AND source = 'pscode3_xlsx'`,</w:t>
      </w:r>
    </w:p>
    <w:p>
      <w:pPr>
        <w:pStyle w:val="CodeBlock"/>
      </w:pPr>
      <w:r>
        <w:t>+   [fy],</w:t>
      </w:r>
    </w:p>
    <w:p>
      <w:pPr>
        <w:pStyle w:val="CodeBlock"/>
      </w:pPr>
      <w:r>
        <w:t>+ );</w:t>
      </w:r>
    </w:p>
    <w:p>
      <w:pPr>
        <w:pStyle w:val="CodeBlock"/>
      </w:pPr>
      <w:r>
        <w:t>+ const expectedMirrorMonths = new Set(</w:t>
      </w:r>
    </w:p>
    <w:p>
      <w:pPr>
        <w:pStyle w:val="CodeBlock"/>
      </w:pPr>
      <w:r>
        <w:t>+   provenanceRes.rows.map((row) =&gt; row.month_label),</w:t>
      </w:r>
    </w:p>
    <w:p>
      <w:pPr>
        <w:pStyle w:val="CodeBlock"/>
      </w:pPr>
      <w:r>
        <w:t>+ );</w:t>
      </w:r>
    </w:p>
    <w:p>
      <w:pPr>
        <w:pStyle w:val="CodeBlock"/>
      </w:pPr>
      <w:r>
        <w:t>+</w:t>
      </w:r>
    </w:p>
    <w:p>
      <w:pPr>
        <w:pStyle w:val="CodeBlock"/>
      </w:pPr>
      <w:r>
        <w:t>+ const applicableRows = mirrorRes.rows.filter((row) =&gt;</w:t>
      </w:r>
    </w:p>
    <w:p>
      <w:pPr>
        <w:pStyle w:val="CodeBlock"/>
      </w:pPr>
      <w:r>
        <w:t>+   expectedMirrorMonths.has(String(row.month_label)),</w:t>
      </w:r>
    </w:p>
    <w:p>
      <w:pPr>
        <w:pStyle w:val="CodeBlock"/>
      </w:pPr>
      <w:r>
        <w:t>+ );</w:t>
      </w:r>
    </w:p>
    <w:p>
      <w:pPr>
        <w:pStyle w:val="CodeBlock"/>
      </w:pPr>
      <w:r>
        <w:t>+</w:t>
      </w:r>
    </w:p>
    <w:p>
      <w:pPr>
        <w:pStyle w:val="CodeBlock"/>
      </w:pPr>
      <w:r>
        <w:t>+ if (expectedMirrorMonths.size === 0) {</w:t>
      </w:r>
    </w:p>
    <w:p>
      <w:pPr>
        <w:pStyle w:val="CodeBlock"/>
      </w:pPr>
      <w:r>
        <w:t>+   checks.push({</w:t>
      </w:r>
    </w:p>
    <w:p>
      <w:pPr>
        <w:pStyle w:val="CodeBlock"/>
      </w:pPr>
      <w:r>
        <w:t>+     key: "cf_7_6_sku_vs_brand_mirror",</w:t>
      </w:r>
    </w:p>
    <w:p>
      <w:pPr>
        <w:pStyle w:val="CodeBlock"/>
      </w:pPr>
      <w:r>
        <w:t>+     expected: null,</w:t>
      </w:r>
    </w:p>
    <w:p>
      <w:pPr>
        <w:pStyle w:val="CodeBlock"/>
      </w:pPr>
      <w:r>
        <w:t>+     actual: null,</w:t>
      </w:r>
    </w:p>
    <w:p>
      <w:pPr>
        <w:pStyle w:val="CodeBlock"/>
      </w:pPr>
      <w:r>
        <w:t>+     deltaPct: null,</w:t>
      </w:r>
    </w:p>
    <w:p>
      <w:pPr>
        <w:pStyle w:val="CodeBlock"/>
      </w:pPr>
      <w:r>
        <w:t>+     status: "skip",</w:t>
      </w:r>
    </w:p>
    <w:p>
      <w:pPr>
        <w:pStyle w:val="CodeBlock"/>
      </w:pPr>
      <w:r>
        <w:t>+     note: "NOT APPLICABLE — no authoritative dual-write provenance exists",</w:t>
      </w:r>
    </w:p>
    <w:p>
      <w:pPr>
        <w:pStyle w:val="CodeBlock"/>
      </w:pPr>
      <w:r>
        <w:t>+   });</w:t>
      </w:r>
    </w:p>
    <w:p>
      <w:pPr>
        <w:pStyle w:val="CodeBlock"/>
      </w:pPr>
      <w:r>
        <w:t>+ } else {</w:t>
      </w:r>
    </w:p>
    <w:p>
      <w:pPr>
        <w:pStyle w:val="CodeBlock"/>
      </w:pPr>
      <w:r>
        <w:t>+   // Compare SKU and mirror NET only for provenance-backed months.</w:t>
      </w:r>
    </w:p>
    <w:p>
      <w:pPr>
        <w:pStyle w:val="CodeBlock"/>
      </w:pPr>
      <w:r>
        <w:t>+ }</w:t>
      </w:r>
    </w:p>
    <w:p>
      <w:pPr>
        <w:pStyle w:val="Heading2"/>
      </w:pPr>
      <w:r>
        <w:t>Expected production status after the proposed change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Financial year / month</w:t>
            </w:r>
          </w:p>
        </w:tc>
        <w:tc>
          <w:tcPr>
            <w:tcW w:type="dxa" w:w="5083"/>
            <w:shd w:fill="D9EAF7"/>
            <w:vAlign w:val="center"/>
          </w:tcPr>
          <w:p>
            <w:r>
              <w:rPr>
                <w:b/>
              </w:rPr>
              <w:t>Expected check 7.6 status</w:t>
            </w:r>
          </w:p>
        </w:tc>
      </w:tr>
      <w:tr>
        <w:tc>
          <w:tcPr>
            <w:tcW w:type="dxa" w:w="5083"/>
            <w:vAlign w:val="center"/>
          </w:tcPr>
          <w:p>
            <w:r>
              <w:t>FY2023-24 — all months</w:t>
            </w:r>
          </w:p>
        </w:tc>
        <w:tc>
          <w:tcPr>
            <w:tcW w:type="dxa" w:w="5083"/>
            <w:vAlign w:val="center"/>
          </w:tcPr>
          <w:p>
            <w:r>
              <w:t>N/A</w:t>
            </w:r>
          </w:p>
        </w:tc>
      </w:tr>
      <w:tr>
        <w:tc>
          <w:tcPr>
            <w:tcW w:type="dxa" w:w="5083"/>
            <w:vAlign w:val="center"/>
          </w:tcPr>
          <w:p>
            <w:r>
              <w:t>FY2024-25 — all months</w:t>
            </w:r>
          </w:p>
        </w:tc>
        <w:tc>
          <w:tcPr>
            <w:tcW w:type="dxa" w:w="5083"/>
            <w:vAlign w:val="center"/>
          </w:tcPr>
          <w:p>
            <w:r>
              <w:t>N/A</w:t>
            </w:r>
          </w:p>
        </w:tc>
      </w:tr>
      <w:tr>
        <w:tc>
          <w:tcPr>
            <w:tcW w:type="dxa" w:w="5083"/>
            <w:vAlign w:val="center"/>
          </w:tcPr>
          <w:p>
            <w:r>
              <w:t>FY2025-26 — all months</w:t>
            </w:r>
          </w:p>
        </w:tc>
        <w:tc>
          <w:tcPr>
            <w:tcW w:type="dxa" w:w="5083"/>
            <w:vAlign w:val="center"/>
          </w:tcPr>
          <w:p>
            <w:r>
              <w:t>N/A</w:t>
            </w:r>
          </w:p>
        </w:tc>
      </w:tr>
      <w:tr>
        <w:tc>
          <w:tcPr>
            <w:tcW w:type="dxa" w:w="5083"/>
            <w:vAlign w:val="center"/>
          </w:tcPr>
          <w:p>
            <w:r>
              <w:t>FY2026-27 Apr-26</w:t>
            </w:r>
          </w:p>
        </w:tc>
        <w:tc>
          <w:tcPr>
            <w:tcW w:type="dxa" w:w="5083"/>
            <w:vAlign w:val="center"/>
          </w:tcPr>
          <w:p>
            <w:r>
              <w:t>N/A</w:t>
            </w:r>
          </w:p>
        </w:tc>
      </w:tr>
      <w:tr>
        <w:tc>
          <w:tcPr>
            <w:tcW w:type="dxa" w:w="5083"/>
            <w:vAlign w:val="center"/>
          </w:tcPr>
          <w:p>
            <w:r>
              <w:t>FY2026-27 May-26</w:t>
            </w:r>
          </w:p>
        </w:tc>
        <w:tc>
          <w:tcPr>
            <w:tcW w:type="dxa" w:w="5083"/>
            <w:vAlign w:val="center"/>
          </w:tcPr>
          <w:p>
            <w:r>
              <w:t>N/A</w:t>
            </w:r>
          </w:p>
        </w:tc>
      </w:tr>
      <w:tr>
        <w:tc>
          <w:tcPr>
            <w:tcW w:type="dxa" w:w="5083"/>
            <w:vAlign w:val="center"/>
          </w:tcPr>
          <w:p>
            <w:r>
              <w:t>FY2026-27 Jun-26</w:t>
            </w:r>
          </w:p>
        </w:tc>
        <w:tc>
          <w:tcPr>
            <w:tcW w:type="dxa" w:w="5083"/>
            <w:vAlign w:val="center"/>
          </w:tcPr>
          <w:p>
            <w:r>
              <w:t>N/A</w:t>
            </w:r>
          </w:p>
        </w:tc>
      </w:tr>
      <w:tr>
        <w:tc>
          <w:tcPr>
            <w:tcW w:type="dxa" w:w="5083"/>
            <w:vAlign w:val="center"/>
          </w:tcPr>
          <w:p>
            <w:r>
              <w:t>FY2026-27 Jul-26</w:t>
            </w:r>
          </w:p>
        </w:tc>
        <w:tc>
          <w:tcPr>
            <w:tcW w:type="dxa" w:w="5083"/>
            <w:vAlign w:val="center"/>
          </w:tcPr>
          <w:p>
            <w:r>
              <w:t>PASS</w:t>
            </w:r>
          </w:p>
        </w:tc>
      </w:tr>
      <w:tr>
        <w:tc>
          <w:tcPr>
            <w:tcW w:type="dxa" w:w="5083"/>
            <w:vAlign w:val="center"/>
          </w:tcPr>
          <w:p>
            <w:r>
              <w:t>FY2026-27 Aug-26</w:t>
            </w:r>
          </w:p>
        </w:tc>
        <w:tc>
          <w:tcPr>
            <w:tcW w:type="dxa" w:w="5083"/>
            <w:vAlign w:val="center"/>
          </w:tcPr>
          <w:p>
            <w:r>
              <w:t>N/A — no secondary load or dual-write provenance</w:t>
            </w:r>
          </w:p>
        </w:tc>
      </w:tr>
    </w:tbl>
    <w:p/>
    <w:p>
      <w:r>
        <w:t>No historical mirror rebuild is proposed.</w:t>
      </w:r>
    </w:p>
    <w:p>
      <w:pPr>
        <w:pStyle w:val="Heading1"/>
      </w:pPr>
      <w:r>
        <w:t>6. Required approval boundary</w:t>
      </w:r>
    </w:p>
    <w:p>
      <w:r>
        <w:t>This document records the evidence and the proposed implementation contract. The Section B/C changes remain unapplied pending approval of the diff. No production write, source load, mirror rebuild, unfreeze, or historical correction is included.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Prompt 80 • Read-only evidence and proposed unapplied diff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404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