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Visit Planning and Source Authority Analysis</w:t>
      </w:r>
    </w:p>
    <w:p>
      <w:pPr>
        <w:jc w:val="center"/>
      </w:pPr>
      <w:r>
        <w:rPr>
          <w:i/>
          <w:color w:val="607080"/>
        </w:rPr>
        <w:t>Prayag Sales Intelligence • Read-only code and lineage review • 14 September 2026</w:t>
      </w:r>
    </w:p>
    <w:p>
      <w:pPr>
        <w:pStyle w:val="Heading1"/>
      </w:pPr>
      <w:r>
        <w:t>Executive conclusion</w:t>
      </w:r>
    </w:p>
    <w:p>
      <w:r>
        <w:rPr>
          <w:b/>
        </w:rPr>
        <w:t xml:space="preserve">The app both measures and plans visits, but its planning is limited. </w:t>
      </w:r>
      <w:r>
        <w:t>It measures connected-sheet visit activity, evaluates progress against a pro-rated annual requirement, and generates monthly capacity budgets plus prioritised retailer targets. It does not create an operational PJP with visit dates, route sequence, appointments, daily schedules, approvals, or completion tracking.</w:t>
      </w:r>
    </w:p>
    <w:tbl>
      <w:tblPr>
        <w:tblStyle w:val="TableGrid"/>
        <w:tblW w:type="auto" w:w="0"/>
        <w:jc w:val="center"/>
        <w:tblLook w:firstColumn="1" w:firstRow="1" w:lastColumn="0" w:lastRow="0" w:noHBand="0" w:noVBand="1" w:val="04A0"/>
      </w:tblPr>
      <w:tblGrid>
        <w:gridCol w:w="5112"/>
        <w:gridCol w:w="5112"/>
      </w:tblGrid>
      <w:tr>
        <w:tc>
          <w:tcPr>
            <w:tcW w:type="dxa" w:w="2304"/>
            <w:shd w:fill="17324D"/>
            <w:vAlign w:val="center"/>
          </w:tcPr>
          <w:p>
            <w:r>
              <w:rPr>
                <w:b/>
                <w:color w:val="FFFFFF"/>
                <w:sz w:val="16"/>
              </w:rPr>
              <w:t>Capability</w:t>
            </w:r>
          </w:p>
        </w:tc>
        <w:tc>
          <w:tcPr>
            <w:tcW w:type="dxa" w:w="8352"/>
            <w:shd w:fill="17324D"/>
            <w:vAlign w:val="center"/>
          </w:tcPr>
          <w:p>
            <w:r>
              <w:rPr>
                <w:b/>
                <w:color w:val="FFFFFF"/>
                <w:sz w:val="16"/>
              </w:rPr>
              <w:t>Finding</w:t>
            </w:r>
          </w:p>
        </w:tc>
      </w:tr>
      <w:tr>
        <w:tc>
          <w:tcPr>
            <w:tcW w:type="dxa" w:w="2304"/>
            <w:vAlign w:val="top"/>
          </w:tcPr>
          <w:p>
            <w:r>
              <w:rPr>
                <w:sz w:val="15"/>
              </w:rPr>
              <w:t>Visit measurement</w:t>
            </w:r>
          </w:p>
        </w:tc>
        <w:tc>
          <w:tcPr>
            <w:tcW w:type="dxa" w:w="8352"/>
            <w:vAlign w:val="top"/>
          </w:tcPr>
          <w:p>
            <w:r>
              <w:rPr>
                <w:sz w:val="15"/>
              </w:rPr>
              <w:t>Yes — aggregate and retailer-level figures are read from connected Google Sheets.</w:t>
            </w:r>
          </w:p>
        </w:tc>
      </w:tr>
      <w:tr>
        <w:tc>
          <w:tcPr>
            <w:tcW w:type="dxa" w:w="2304"/>
            <w:vAlign w:val="top"/>
          </w:tcPr>
          <w:p>
            <w:r>
              <w:rPr>
                <w:sz w:val="15"/>
              </w:rPr>
              <w:t>Target pro-rating</w:t>
            </w:r>
          </w:p>
        </w:tc>
        <w:tc>
          <w:tcPr>
            <w:tcW w:type="dxa" w:w="8352"/>
            <w:vAlign w:val="top"/>
          </w:tcPr>
          <w:p>
            <w:r>
              <w:rPr>
                <w:sz w:val="15"/>
              </w:rPr>
              <w:t>Yes — annual required visits are pro-rated to elapsed FY time to evaluate pace.</w:t>
            </w:r>
          </w:p>
        </w:tc>
      </w:tr>
      <w:tr>
        <w:tc>
          <w:tcPr>
            <w:tcW w:type="dxa" w:w="2304"/>
            <w:vAlign w:val="top"/>
          </w:tcPr>
          <w:p>
            <w:r>
              <w:rPr>
                <w:sz w:val="15"/>
              </w:rPr>
              <w:t>Forward planning</w:t>
            </w:r>
          </w:p>
        </w:tc>
        <w:tc>
          <w:tcPr>
            <w:tcW w:type="dxa" w:w="8352"/>
            <w:vAlign w:val="top"/>
          </w:tcPr>
          <w:p>
            <w:r>
              <w:rPr>
                <w:sz w:val="15"/>
              </w:rPr>
              <w:t>Yes — remaining capacity is allocated across months and retailer targets are prioritised.</w:t>
            </w:r>
          </w:p>
        </w:tc>
      </w:tr>
      <w:tr>
        <w:tc>
          <w:tcPr>
            <w:tcW w:type="dxa" w:w="2304"/>
            <w:vAlign w:val="top"/>
          </w:tcPr>
          <w:p>
            <w:r>
              <w:rPr>
                <w:sz w:val="15"/>
              </w:rPr>
              <w:t>Beat/PJP/journey plan</w:t>
            </w:r>
          </w:p>
        </w:tc>
        <w:tc>
          <w:tcPr>
            <w:tcW w:type="dxa" w:w="8352"/>
            <w:vAlign w:val="top"/>
          </w:tcPr>
          <w:p>
            <w:r>
              <w:rPr>
                <w:sz w:val="15"/>
              </w:rPr>
              <w:t>No structured or persisted beat, route, journey, or PJP dataset exists.</w:t>
            </w:r>
          </w:p>
        </w:tc>
      </w:tr>
      <w:tr>
        <w:tc>
          <w:tcPr>
            <w:tcW w:type="dxa" w:w="2304"/>
            <w:vAlign w:val="top"/>
          </w:tcPr>
          <w:p>
            <w:r>
              <w:rPr>
                <w:sz w:val="15"/>
              </w:rPr>
              <w:t>AI travel plan</w:t>
            </w:r>
          </w:p>
        </w:tc>
        <w:tc>
          <w:tcPr>
            <w:tcW w:type="dxa" w:w="8352"/>
            <w:vAlign w:val="top"/>
          </w:tcPr>
          <w:p>
            <w:r>
              <w:rPr>
                <w:sz w:val="15"/>
              </w:rPr>
              <w:t>Narrative itinerary guidance from computed targets; not a stored route plan.</w:t>
            </w:r>
          </w:p>
        </w:tc>
      </w:tr>
    </w:tbl>
    <w:p>
      <w:pPr>
        <w:spacing w:after="40"/>
      </w:pPr>
    </w:p>
    <w:p>
      <w:pPr>
        <w:pStyle w:val="Heading1"/>
      </w:pPr>
      <w:r>
        <w:t>1. Complete visit-related inventory</w:t>
      </w:r>
    </w:p>
    <w:p>
      <w:pPr>
        <w:pStyle w:val="Heading2"/>
      </w:pPr>
      <w:r>
        <w:t>1.1 Database and storage</w:t>
      </w:r>
    </w:p>
    <w:tbl>
      <w:tblPr>
        <w:tblStyle w:val="TableGrid"/>
        <w:tblW w:type="auto" w:w="0"/>
        <w:jc w:val="center"/>
        <w:tblLook w:firstColumn="1" w:firstRow="1" w:lastColumn="0" w:lastRow="0" w:noHBand="0" w:noVBand="1" w:val="04A0"/>
      </w:tblPr>
      <w:tblGrid>
        <w:gridCol w:w="5112"/>
        <w:gridCol w:w="5112"/>
      </w:tblGrid>
      <w:tr>
        <w:tc>
          <w:tcPr>
            <w:tcW w:type="dxa" w:w="2592"/>
            <w:shd w:fill="17324D"/>
            <w:vAlign w:val="center"/>
          </w:tcPr>
          <w:p>
            <w:r>
              <w:rPr>
                <w:b/>
                <w:color w:val="FFFFFF"/>
                <w:sz w:val="16"/>
              </w:rPr>
              <w:t>Storage surface</w:t>
            </w:r>
          </w:p>
        </w:tc>
        <w:tc>
          <w:tcPr>
            <w:tcW w:type="dxa" w:w="8064"/>
            <w:shd w:fill="17324D"/>
            <w:vAlign w:val="center"/>
          </w:tcPr>
          <w:p>
            <w:r>
              <w:rPr>
                <w:b/>
                <w:color w:val="FFFFFF"/>
                <w:sz w:val="16"/>
              </w:rPr>
              <w:t>Visit-related content</w:t>
            </w:r>
          </w:p>
        </w:tc>
      </w:tr>
      <w:tr>
        <w:tc>
          <w:tcPr>
            <w:tcW w:type="dxa" w:w="2592"/>
            <w:vAlign w:val="top"/>
          </w:tcPr>
          <w:p>
            <w:r>
              <w:rPr>
                <w:sz w:val="15"/>
              </w:rPr>
              <w:t>Dedicated visit table</w:t>
            </w:r>
          </w:p>
        </w:tc>
        <w:tc>
          <w:tcPr>
            <w:tcW w:type="dxa" w:w="8064"/>
            <w:vAlign w:val="top"/>
          </w:tcPr>
          <w:p>
            <w:r>
              <w:rPr>
                <w:sz w:val="15"/>
              </w:rPr>
              <w:t>None found.</w:t>
            </w:r>
          </w:p>
        </w:tc>
      </w:tr>
      <w:tr>
        <w:tc>
          <w:tcPr>
            <w:tcW w:type="dxa" w:w="2592"/>
            <w:vAlign w:val="top"/>
          </w:tcPr>
          <w:p>
            <w:r>
              <w:rPr>
                <w:sz w:val="15"/>
              </w:rPr>
              <w:t>Dedicated visit-event ledger</w:t>
            </w:r>
          </w:p>
        </w:tc>
        <w:tc>
          <w:tcPr>
            <w:tcW w:type="dxa" w:w="8064"/>
            <w:vAlign w:val="top"/>
          </w:tcPr>
          <w:p>
            <w:r>
              <w:rPr>
                <w:sz w:val="15"/>
              </w:rPr>
              <w:t>None found.</w:t>
            </w:r>
          </w:p>
        </w:tc>
      </w:tr>
      <w:tr>
        <w:tc>
          <w:tcPr>
            <w:tcW w:type="dxa" w:w="2592"/>
            <w:vAlign w:val="top"/>
          </w:tcPr>
          <w:p>
            <w:r>
              <w:rPr>
                <w:sz w:val="15"/>
              </w:rPr>
              <w:t>Persisted VisitPlan/PJP table</w:t>
            </w:r>
          </w:p>
        </w:tc>
        <w:tc>
          <w:tcPr>
            <w:tcW w:type="dxa" w:w="8064"/>
            <w:vAlign w:val="top"/>
          </w:tcPr>
          <w:p>
            <w:r>
              <w:rPr>
                <w:sz w:val="15"/>
              </w:rPr>
              <w:t>None found.</w:t>
            </w:r>
          </w:p>
        </w:tc>
      </w:tr>
      <w:tr>
        <w:tc>
          <w:tcPr>
            <w:tcW w:type="dxa" w:w="2592"/>
            <w:vAlign w:val="top"/>
          </w:tcPr>
          <w:p>
            <w:r>
              <w:rPr>
                <w:sz w:val="15"/>
              </w:rPr>
              <w:t>deepDiveSnapshots</w:t>
            </w:r>
          </w:p>
        </w:tc>
        <w:tc>
          <w:tcPr>
            <w:tcW w:type="dxa" w:w="8064"/>
            <w:vAlign w:val="top"/>
          </w:tcPr>
          <w:p>
            <w:r>
              <w:rPr>
                <w:sz w:val="15"/>
              </w:rPr>
              <w:t>Generic dashboard snapshots can contain visit payloads; not a visit ledger.</w:t>
            </w:r>
          </w:p>
        </w:tc>
      </w:tr>
      <w:tr>
        <w:tc>
          <w:tcPr>
            <w:tcW w:type="dxa" w:w="2592"/>
            <w:vAlign w:val="top"/>
          </w:tcPr>
          <w:p>
            <w:r>
              <w:rPr>
                <w:sz w:val="15"/>
              </w:rPr>
              <w:t>Market Survey</w:t>
            </w:r>
          </w:p>
        </w:tc>
        <w:tc>
          <w:tcPr>
            <w:tcW w:type="dxa" w:w="8064"/>
            <w:vAlign w:val="top"/>
          </w:tcPr>
          <w:p>
            <w:r>
              <w:rPr>
                <w:sz w:val="15"/>
              </w:rPr>
              <w:t>competitor_visit_frequency only; unrelated to employee field visits.</w:t>
            </w:r>
          </w:p>
        </w:tc>
      </w:tr>
      <w:tr>
        <w:tc>
          <w:tcPr>
            <w:tcW w:type="dxa" w:w="2592"/>
            <w:vAlign w:val="top"/>
          </w:tcPr>
          <w:p>
            <w:r>
              <w:rPr>
                <w:sz w:val="15"/>
              </w:rPr>
              <w:t>Google Sheets</w:t>
            </w:r>
          </w:p>
        </w:tc>
        <w:tc>
          <w:tcPr>
            <w:tcW w:type="dxa" w:w="8064"/>
            <w:vAlign w:val="top"/>
          </w:tcPr>
          <w:p>
            <w:r>
              <w:rPr>
                <w:sz w:val="15"/>
              </w:rPr>
              <w:t>Operational visit data is read-only from member sheets, Dashboard Data, and HR/SFA Data.</w:t>
            </w:r>
          </w:p>
        </w:tc>
      </w:tr>
    </w:tbl>
    <w:p>
      <w:pPr>
        <w:spacing w:after="40"/>
      </w:pPr>
    </w:p>
    <w:p>
      <w:pPr>
        <w:pStyle w:val="Heading2"/>
      </w:pPr>
      <w:r>
        <w:t>1.2 Member working sheet / Visit Report fields</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7324D"/>
            <w:vAlign w:val="center"/>
          </w:tcPr>
          <w:p>
            <w:r>
              <w:rPr>
                <w:b/>
                <w:color w:val="FFFFFF"/>
                <w:sz w:val="16"/>
              </w:rPr>
              <w:t>Column/source</w:t>
            </w:r>
          </w:p>
        </w:tc>
        <w:tc>
          <w:tcPr>
            <w:tcW w:type="dxa" w:w="2880"/>
            <w:shd w:fill="17324D"/>
            <w:vAlign w:val="center"/>
          </w:tcPr>
          <w:p>
            <w:r>
              <w:rPr>
                <w:b/>
                <w:color w:val="FFFFFF"/>
                <w:sz w:val="16"/>
              </w:rPr>
              <w:t>Field</w:t>
            </w:r>
          </w:p>
        </w:tc>
        <w:tc>
          <w:tcPr>
            <w:tcW w:type="dxa" w:w="5904"/>
            <w:shd w:fill="17324D"/>
            <w:vAlign w:val="center"/>
          </w:tcPr>
          <w:p>
            <w:r>
              <w:rPr>
                <w:b/>
                <w:color w:val="FFFFFF"/>
                <w:sz w:val="16"/>
              </w:rPr>
              <w:t>Meaning</w:t>
            </w:r>
          </w:p>
        </w:tc>
      </w:tr>
      <w:tr>
        <w:tc>
          <w:tcPr>
            <w:tcW w:type="dxa" w:w="1872"/>
            <w:vAlign w:val="top"/>
          </w:tcPr>
          <w:p>
            <w:r>
              <w:rPr>
                <w:sz w:val="15"/>
              </w:rPr>
              <w:t>C / detected</w:t>
            </w:r>
          </w:p>
        </w:tc>
        <w:tc>
          <w:tcPr>
            <w:tcW w:type="dxa" w:w="2880"/>
            <w:vAlign w:val="top"/>
          </w:tcPr>
          <w:p>
            <w:r>
              <w:rPr>
                <w:sz w:val="15"/>
              </w:rPr>
              <w:t>name</w:t>
            </w:r>
          </w:p>
        </w:tc>
        <w:tc>
          <w:tcPr>
            <w:tcW w:type="dxa" w:w="5904"/>
            <w:vAlign w:val="top"/>
          </w:tcPr>
          <w:p>
            <w:r>
              <w:rPr>
                <w:sz w:val="15"/>
              </w:rPr>
              <w:t>Retailer identity</w:t>
            </w:r>
          </w:p>
        </w:tc>
      </w:tr>
      <w:tr>
        <w:tc>
          <w:tcPr>
            <w:tcW w:type="dxa" w:w="1872"/>
            <w:vAlign w:val="top"/>
          </w:tcPr>
          <w:p>
            <w:r>
              <w:rPr>
                <w:sz w:val="15"/>
              </w:rPr>
              <w:t>D / detected</w:t>
            </w:r>
          </w:p>
        </w:tc>
        <w:tc>
          <w:tcPr>
            <w:tcW w:type="dxa" w:w="2880"/>
            <w:vAlign w:val="top"/>
          </w:tcPr>
          <w:p>
            <w:r>
              <w:rPr>
                <w:sz w:val="15"/>
              </w:rPr>
              <w:t>district</w:t>
            </w:r>
          </w:p>
        </w:tc>
        <w:tc>
          <w:tcPr>
            <w:tcW w:type="dxa" w:w="5904"/>
            <w:vAlign w:val="top"/>
          </w:tcPr>
          <w:p>
            <w:r>
              <w:rPr>
                <w:sz w:val="15"/>
              </w:rPr>
              <w:t>District</w:t>
            </w:r>
          </w:p>
        </w:tc>
      </w:tr>
      <w:tr>
        <w:tc>
          <w:tcPr>
            <w:tcW w:type="dxa" w:w="1872"/>
            <w:vAlign w:val="top"/>
          </w:tcPr>
          <w:p>
            <w:r>
              <w:rPr>
                <w:sz w:val="15"/>
              </w:rPr>
              <w:t>E / detected</w:t>
            </w:r>
          </w:p>
        </w:tc>
        <w:tc>
          <w:tcPr>
            <w:tcW w:type="dxa" w:w="2880"/>
            <w:vAlign w:val="top"/>
          </w:tcPr>
          <w:p>
            <w:r>
              <w:rPr>
                <w:sz w:val="15"/>
              </w:rPr>
              <w:t>city</w:t>
            </w:r>
          </w:p>
        </w:tc>
        <w:tc>
          <w:tcPr>
            <w:tcW w:type="dxa" w:w="5904"/>
            <w:vAlign w:val="top"/>
          </w:tcPr>
          <w:p>
            <w:r>
              <w:rPr>
                <w:sz w:val="15"/>
              </w:rPr>
              <w:t>City</w:t>
            </w:r>
          </w:p>
        </w:tc>
      </w:tr>
      <w:tr>
        <w:tc>
          <w:tcPr>
            <w:tcW w:type="dxa" w:w="1872"/>
            <w:vAlign w:val="top"/>
          </w:tcPr>
          <w:p>
            <w:r>
              <w:rPr>
                <w:sz w:val="15"/>
              </w:rPr>
              <w:t>F / detected</w:t>
            </w:r>
          </w:p>
        </w:tc>
        <w:tc>
          <w:tcPr>
            <w:tcW w:type="dxa" w:w="2880"/>
            <w:vAlign w:val="top"/>
          </w:tcPr>
          <w:p>
            <w:r>
              <w:rPr>
                <w:sz w:val="15"/>
              </w:rPr>
              <w:t>distributor</w:t>
            </w:r>
          </w:p>
        </w:tc>
        <w:tc>
          <w:tcPr>
            <w:tcW w:type="dxa" w:w="5904"/>
            <w:vAlign w:val="top"/>
          </w:tcPr>
          <w:p>
            <w:r>
              <w:rPr>
                <w:sz w:val="15"/>
              </w:rPr>
              <w:t>Serving distributor</w:t>
            </w:r>
          </w:p>
        </w:tc>
      </w:tr>
      <w:tr>
        <w:tc>
          <w:tcPr>
            <w:tcW w:type="dxa" w:w="1872"/>
            <w:vAlign w:val="top"/>
          </w:tcPr>
          <w:p>
            <w:r>
              <w:rPr>
                <w:sz w:val="15"/>
              </w:rPr>
              <w:t>G / detected</w:t>
            </w:r>
          </w:p>
        </w:tc>
        <w:tc>
          <w:tcPr>
            <w:tcW w:type="dxa" w:w="2880"/>
            <w:vAlign w:val="top"/>
          </w:tcPr>
          <w:p>
            <w:r>
              <w:rPr>
                <w:sz w:val="15"/>
              </w:rPr>
              <w:t>distanceKm</w:t>
            </w:r>
          </w:p>
        </w:tc>
        <w:tc>
          <w:tcPr>
            <w:tcW w:type="dxa" w:w="5904"/>
            <w:vAlign w:val="top"/>
          </w:tcPr>
          <w:p>
            <w:r>
              <w:rPr>
                <w:sz w:val="15"/>
              </w:rPr>
              <w:t>Distance in kilometres</w:t>
            </w:r>
          </w:p>
        </w:tc>
      </w:tr>
      <w:tr>
        <w:tc>
          <w:tcPr>
            <w:tcW w:type="dxa" w:w="1872"/>
            <w:vAlign w:val="top"/>
          </w:tcPr>
          <w:p>
            <w:r>
              <w:rPr>
                <w:sz w:val="15"/>
              </w:rPr>
              <w:t>W / detected</w:t>
            </w:r>
          </w:p>
        </w:tc>
        <w:tc>
          <w:tcPr>
            <w:tcW w:type="dxa" w:w="2880"/>
            <w:vAlign w:val="top"/>
          </w:tcPr>
          <w:p>
            <w:r>
              <w:rPr>
                <w:sz w:val="15"/>
              </w:rPr>
              <w:t>businessPlan</w:t>
            </w:r>
          </w:p>
        </w:tc>
        <w:tc>
          <w:tcPr>
            <w:tcW w:type="dxa" w:w="5904"/>
            <w:vAlign w:val="top"/>
          </w:tcPr>
          <w:p>
            <w:r>
              <w:rPr>
                <w:sz w:val="15"/>
              </w:rPr>
              <w:t>Annual business plan</w:t>
            </w:r>
          </w:p>
        </w:tc>
      </w:tr>
      <w:tr>
        <w:tc>
          <w:tcPr>
            <w:tcW w:type="dxa" w:w="1872"/>
            <w:vAlign w:val="top"/>
          </w:tcPr>
          <w:p>
            <w:r>
              <w:rPr>
                <w:sz w:val="15"/>
              </w:rPr>
              <w:t>X / detected</w:t>
            </w:r>
          </w:p>
        </w:tc>
        <w:tc>
          <w:tcPr>
            <w:tcW w:type="dxa" w:w="2880"/>
            <w:vAlign w:val="top"/>
          </w:tcPr>
          <w:p>
            <w:r>
              <w:rPr>
                <w:sz w:val="15"/>
              </w:rPr>
              <w:t>visitsRequired</w:t>
            </w:r>
          </w:p>
        </w:tc>
        <w:tc>
          <w:tcPr>
            <w:tcW w:type="dxa" w:w="5904"/>
            <w:vAlign w:val="top"/>
          </w:tcPr>
          <w:p>
            <w:r>
              <w:rPr>
                <w:sz w:val="15"/>
              </w:rPr>
              <w:t>Annual visits required</w:t>
            </w:r>
          </w:p>
        </w:tc>
      </w:tr>
      <w:tr>
        <w:tc>
          <w:tcPr>
            <w:tcW w:type="dxa" w:w="1872"/>
            <w:vAlign w:val="top"/>
          </w:tcPr>
          <w:p>
            <w:r>
              <w:rPr>
                <w:sz w:val="15"/>
              </w:rPr>
              <w:t>Z / detected</w:t>
            </w:r>
          </w:p>
        </w:tc>
        <w:tc>
          <w:tcPr>
            <w:tcW w:type="dxa" w:w="2880"/>
            <w:vAlign w:val="top"/>
          </w:tcPr>
          <w:p>
            <w:r>
              <w:rPr>
                <w:sz w:val="15"/>
              </w:rPr>
              <w:t>orderBooking</w:t>
            </w:r>
          </w:p>
        </w:tc>
        <w:tc>
          <w:tcPr>
            <w:tcW w:type="dxa" w:w="5904"/>
            <w:vAlign w:val="top"/>
          </w:tcPr>
          <w:p>
            <w:r>
              <w:rPr>
                <w:sz w:val="15"/>
              </w:rPr>
              <w:t>Order booking</w:t>
            </w:r>
          </w:p>
        </w:tc>
      </w:tr>
      <w:tr>
        <w:tc>
          <w:tcPr>
            <w:tcW w:type="dxa" w:w="1872"/>
            <w:vAlign w:val="top"/>
          </w:tcPr>
          <w:p>
            <w:r>
              <w:rPr>
                <w:sz w:val="15"/>
              </w:rPr>
              <w:t>AA / detected</w:t>
            </w:r>
          </w:p>
        </w:tc>
        <w:tc>
          <w:tcPr>
            <w:tcW w:type="dxa" w:w="2880"/>
            <w:vAlign w:val="top"/>
          </w:tcPr>
          <w:p>
            <w:r>
              <w:rPr>
                <w:sz w:val="15"/>
              </w:rPr>
              <w:t>sale</w:t>
            </w:r>
          </w:p>
        </w:tc>
        <w:tc>
          <w:tcPr>
            <w:tcW w:type="dxa" w:w="5904"/>
            <w:vAlign w:val="top"/>
          </w:tcPr>
          <w:p>
            <w:r>
              <w:rPr>
                <w:sz w:val="15"/>
              </w:rPr>
              <w:t>Sales received</w:t>
            </w:r>
          </w:p>
        </w:tc>
      </w:tr>
      <w:tr>
        <w:tc>
          <w:tcPr>
            <w:tcW w:type="dxa" w:w="1872"/>
            <w:vAlign w:val="top"/>
          </w:tcPr>
          <w:p>
            <w:r>
              <w:rPr>
                <w:sz w:val="15"/>
              </w:rPr>
              <w:t>AB / detected</w:t>
            </w:r>
          </w:p>
        </w:tc>
        <w:tc>
          <w:tcPr>
            <w:tcW w:type="dxa" w:w="2880"/>
            <w:vAlign w:val="top"/>
          </w:tcPr>
          <w:p>
            <w:r>
              <w:rPr>
                <w:sz w:val="15"/>
              </w:rPr>
              <w:t>totalVisit</w:t>
            </w:r>
          </w:p>
        </w:tc>
        <w:tc>
          <w:tcPr>
            <w:tcW w:type="dxa" w:w="5904"/>
            <w:vAlign w:val="top"/>
          </w:tcPr>
          <w:p>
            <w:r>
              <w:rPr>
                <w:sz w:val="15"/>
              </w:rPr>
              <w:t>Completed visits</w:t>
            </w:r>
          </w:p>
        </w:tc>
      </w:tr>
      <w:tr>
        <w:tc>
          <w:tcPr>
            <w:tcW w:type="dxa" w:w="1872"/>
            <w:vAlign w:val="top"/>
          </w:tcPr>
          <w:p>
            <w:r>
              <w:rPr>
                <w:sz w:val="15"/>
              </w:rPr>
              <w:t>AD / detected</w:t>
            </w:r>
          </w:p>
        </w:tc>
        <w:tc>
          <w:tcPr>
            <w:tcW w:type="dxa" w:w="2880"/>
            <w:vAlign w:val="top"/>
          </w:tcPr>
          <w:p>
            <w:r>
              <w:rPr>
                <w:sz w:val="15"/>
              </w:rPr>
              <w:t>achievementPct</w:t>
            </w:r>
          </w:p>
        </w:tc>
        <w:tc>
          <w:tcPr>
            <w:tcW w:type="dxa" w:w="5904"/>
            <w:vAlign w:val="top"/>
          </w:tcPr>
          <w:p>
            <w:r>
              <w:rPr>
                <w:sz w:val="15"/>
              </w:rPr>
              <w:t>Parsed but not trusted; achievement is recalculated</w:t>
            </w:r>
          </w:p>
        </w:tc>
      </w:tr>
    </w:tbl>
    <w:p>
      <w:pPr>
        <w:spacing w:after="40"/>
      </w:pPr>
    </w:p>
    <w:p>
      <w:pPr>
        <w:pStyle w:val="Heading2"/>
      </w:pPr>
      <w:r>
        <w:t>1.3 State Head Dashboard Data-tab fields</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7324D"/>
            <w:vAlign w:val="center"/>
          </w:tcPr>
          <w:p>
            <w:r>
              <w:rPr>
                <w:b/>
                <w:color w:val="FFFFFF"/>
                <w:sz w:val="16"/>
              </w:rPr>
              <w:t>Column/source</w:t>
            </w:r>
          </w:p>
        </w:tc>
        <w:tc>
          <w:tcPr>
            <w:tcW w:type="dxa" w:w="2880"/>
            <w:shd w:fill="17324D"/>
            <w:vAlign w:val="center"/>
          </w:tcPr>
          <w:p>
            <w:r>
              <w:rPr>
                <w:b/>
                <w:color w:val="FFFFFF"/>
                <w:sz w:val="16"/>
              </w:rPr>
              <w:t>Field</w:t>
            </w:r>
          </w:p>
        </w:tc>
        <w:tc>
          <w:tcPr>
            <w:tcW w:type="dxa" w:w="5904"/>
            <w:shd w:fill="17324D"/>
            <w:vAlign w:val="center"/>
          </w:tcPr>
          <w:p>
            <w:r>
              <w:rPr>
                <w:b/>
                <w:color w:val="FFFFFF"/>
                <w:sz w:val="16"/>
              </w:rPr>
              <w:t>Meaning</w:t>
            </w:r>
          </w:p>
        </w:tc>
      </w:tr>
      <w:tr>
        <w:tc>
          <w:tcPr>
            <w:tcW w:type="dxa" w:w="1872"/>
            <w:vAlign w:val="top"/>
          </w:tcPr>
          <w:p>
            <w:r>
              <w:rPr>
                <w:sz w:val="15"/>
              </w:rPr>
              <w:t>Data tab</w:t>
            </w:r>
          </w:p>
        </w:tc>
        <w:tc>
          <w:tcPr>
            <w:tcW w:type="dxa" w:w="2880"/>
            <w:vAlign w:val="top"/>
          </w:tcPr>
          <w:p>
            <w:r>
              <w:rPr>
                <w:sz w:val="15"/>
              </w:rPr>
              <w:t>totalVisitsYtd</w:t>
            </w:r>
          </w:p>
        </w:tc>
        <w:tc>
          <w:tcPr>
            <w:tcW w:type="dxa" w:w="5904"/>
            <w:vAlign w:val="top"/>
          </w:tcPr>
          <w:p>
            <w:r>
              <w:rPr>
                <w:sz w:val="15"/>
              </w:rPr>
              <w:t>Typed aggregate visits YTD</w:t>
            </w:r>
          </w:p>
        </w:tc>
      </w:tr>
      <w:tr>
        <w:tc>
          <w:tcPr>
            <w:tcW w:type="dxa" w:w="1872"/>
            <w:vAlign w:val="top"/>
          </w:tcPr>
          <w:p>
            <w:r>
              <w:rPr>
                <w:sz w:val="15"/>
              </w:rPr>
              <w:t>Data tab</w:t>
            </w:r>
          </w:p>
        </w:tc>
        <w:tc>
          <w:tcPr>
            <w:tcW w:type="dxa" w:w="2880"/>
            <w:vAlign w:val="top"/>
          </w:tcPr>
          <w:p>
            <w:r>
              <w:rPr>
                <w:sz w:val="15"/>
              </w:rPr>
              <w:t>visitedRetailers</w:t>
            </w:r>
          </w:p>
        </w:tc>
        <w:tc>
          <w:tcPr>
            <w:tcW w:type="dxa" w:w="5904"/>
            <w:vAlign w:val="top"/>
          </w:tcPr>
          <w:p>
            <w:r>
              <w:rPr>
                <w:sz w:val="15"/>
              </w:rPr>
              <w:t>Unique/typed visited-retailer count</w:t>
            </w:r>
          </w:p>
        </w:tc>
      </w:tr>
      <w:tr>
        <w:tc>
          <w:tcPr>
            <w:tcW w:type="dxa" w:w="1872"/>
            <w:vAlign w:val="top"/>
          </w:tcPr>
          <w:p>
            <w:r>
              <w:rPr>
                <w:sz w:val="15"/>
              </w:rPr>
              <w:t>Data tab</w:t>
            </w:r>
          </w:p>
        </w:tc>
        <w:tc>
          <w:tcPr>
            <w:tcW w:type="dxa" w:w="2880"/>
            <w:vAlign w:val="top"/>
          </w:tcPr>
          <w:p>
            <w:r>
              <w:rPr>
                <w:sz w:val="15"/>
              </w:rPr>
              <w:t>nonVisitedRetailers</w:t>
            </w:r>
          </w:p>
        </w:tc>
        <w:tc>
          <w:tcPr>
            <w:tcW w:type="dxa" w:w="5904"/>
            <w:vAlign w:val="top"/>
          </w:tcPr>
          <w:p>
            <w:r>
              <w:rPr>
                <w:sz w:val="15"/>
              </w:rPr>
              <w:t>Typed or derived non-visited retailer count</w:t>
            </w:r>
          </w:p>
        </w:tc>
      </w:tr>
      <w:tr>
        <w:tc>
          <w:tcPr>
            <w:tcW w:type="dxa" w:w="1872"/>
            <w:vAlign w:val="top"/>
          </w:tcPr>
          <w:p>
            <w:r>
              <w:rPr>
                <w:sz w:val="15"/>
              </w:rPr>
              <w:t>AG</w:t>
            </w:r>
          </w:p>
        </w:tc>
        <w:tc>
          <w:tcPr>
            <w:tcW w:type="dxa" w:w="2880"/>
            <w:vAlign w:val="top"/>
          </w:tcPr>
          <w:p>
            <w:r>
              <w:rPr>
                <w:sz w:val="15"/>
              </w:rPr>
              <w:t>workingDaysActual</w:t>
            </w:r>
          </w:p>
        </w:tc>
        <w:tc>
          <w:tcPr>
            <w:tcW w:type="dxa" w:w="5904"/>
            <w:vAlign w:val="top"/>
          </w:tcPr>
          <w:p>
            <w:r>
              <w:rPr>
                <w:sz w:val="15"/>
              </w:rPr>
              <w:t>Member-recorded working days used as rate denominator</w:t>
            </w:r>
          </w:p>
        </w:tc>
      </w:tr>
    </w:tbl>
    <w:p>
      <w:pPr>
        <w:spacing w:after="40"/>
      </w:pPr>
    </w:p>
    <w:p>
      <w:pPr>
        <w:pStyle w:val="Heading2"/>
      </w:pPr>
      <w:r>
        <w:t>1.4 HR/SFA Dashboard fields</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7324D"/>
            <w:vAlign w:val="center"/>
          </w:tcPr>
          <w:p>
            <w:r>
              <w:rPr>
                <w:b/>
                <w:color w:val="FFFFFF"/>
                <w:sz w:val="16"/>
              </w:rPr>
              <w:t>Column/source</w:t>
            </w:r>
          </w:p>
        </w:tc>
        <w:tc>
          <w:tcPr>
            <w:tcW w:type="dxa" w:w="2880"/>
            <w:shd w:fill="17324D"/>
            <w:vAlign w:val="center"/>
          </w:tcPr>
          <w:p>
            <w:r>
              <w:rPr>
                <w:b/>
                <w:color w:val="FFFFFF"/>
                <w:sz w:val="16"/>
              </w:rPr>
              <w:t>Field</w:t>
            </w:r>
          </w:p>
        </w:tc>
        <w:tc>
          <w:tcPr>
            <w:tcW w:type="dxa" w:w="5904"/>
            <w:shd w:fill="17324D"/>
            <w:vAlign w:val="center"/>
          </w:tcPr>
          <w:p>
            <w:r>
              <w:rPr>
                <w:b/>
                <w:color w:val="FFFFFF"/>
                <w:sz w:val="16"/>
              </w:rPr>
              <w:t>Meaning</w:t>
            </w:r>
          </w:p>
        </w:tc>
      </w:tr>
      <w:tr>
        <w:tc>
          <w:tcPr>
            <w:tcW w:type="dxa" w:w="1872"/>
            <w:vAlign w:val="top"/>
          </w:tcPr>
          <w:p>
            <w:r>
              <w:rPr>
                <w:sz w:val="15"/>
              </w:rPr>
              <w:t>HR/SFA</w:t>
            </w:r>
          </w:p>
        </w:tc>
        <w:tc>
          <w:tcPr>
            <w:tcW w:type="dxa" w:w="2880"/>
            <w:vAlign w:val="top"/>
          </w:tcPr>
          <w:p>
            <w:r>
              <w:rPr>
                <w:sz w:val="15"/>
              </w:rPr>
              <w:t>workingDays</w:t>
            </w:r>
          </w:p>
        </w:tc>
        <w:tc>
          <w:tcPr>
            <w:tcW w:type="dxa" w:w="5904"/>
            <w:vAlign w:val="top"/>
          </w:tcPr>
          <w:p>
            <w:r>
              <w:rPr>
                <w:sz w:val="15"/>
              </w:rPr>
              <w:t>Working days</w:t>
            </w:r>
          </w:p>
        </w:tc>
      </w:tr>
      <w:tr>
        <w:tc>
          <w:tcPr>
            <w:tcW w:type="dxa" w:w="1872"/>
            <w:vAlign w:val="top"/>
          </w:tcPr>
          <w:p>
            <w:r>
              <w:rPr>
                <w:sz w:val="15"/>
              </w:rPr>
              <w:t>HR/SFA</w:t>
            </w:r>
          </w:p>
        </w:tc>
        <w:tc>
          <w:tcPr>
            <w:tcW w:type="dxa" w:w="2880"/>
            <w:vAlign w:val="top"/>
          </w:tcPr>
          <w:p>
            <w:r>
              <w:rPr>
                <w:sz w:val="15"/>
              </w:rPr>
              <w:t>totalVisits</w:t>
            </w:r>
          </w:p>
        </w:tc>
        <w:tc>
          <w:tcPr>
            <w:tcW w:type="dxa" w:w="5904"/>
            <w:vAlign w:val="top"/>
          </w:tcPr>
          <w:p>
            <w:r>
              <w:rPr>
                <w:sz w:val="15"/>
              </w:rPr>
              <w:t>Total visits</w:t>
            </w:r>
          </w:p>
        </w:tc>
      </w:tr>
      <w:tr>
        <w:tc>
          <w:tcPr>
            <w:tcW w:type="dxa" w:w="1872"/>
            <w:vAlign w:val="top"/>
          </w:tcPr>
          <w:p>
            <w:r>
              <w:rPr>
                <w:sz w:val="15"/>
              </w:rPr>
              <w:t>HR/SFA</w:t>
            </w:r>
          </w:p>
        </w:tc>
        <w:tc>
          <w:tcPr>
            <w:tcW w:type="dxa" w:w="2880"/>
            <w:vAlign w:val="top"/>
          </w:tcPr>
          <w:p>
            <w:r>
              <w:rPr>
                <w:sz w:val="15"/>
              </w:rPr>
              <w:t>visitedParties</w:t>
            </w:r>
          </w:p>
        </w:tc>
        <w:tc>
          <w:tcPr>
            <w:tcW w:type="dxa" w:w="5904"/>
            <w:vAlign w:val="top"/>
          </w:tcPr>
          <w:p>
            <w:r>
              <w:rPr>
                <w:sz w:val="15"/>
              </w:rPr>
              <w:t>Visited parties</w:t>
            </w:r>
          </w:p>
        </w:tc>
      </w:tr>
      <w:tr>
        <w:tc>
          <w:tcPr>
            <w:tcW w:type="dxa" w:w="1872"/>
            <w:vAlign w:val="top"/>
          </w:tcPr>
          <w:p>
            <w:r>
              <w:rPr>
                <w:sz w:val="15"/>
              </w:rPr>
              <w:t>HR/SFA</w:t>
            </w:r>
          </w:p>
        </w:tc>
        <w:tc>
          <w:tcPr>
            <w:tcW w:type="dxa" w:w="2880"/>
            <w:vAlign w:val="top"/>
          </w:tcPr>
          <w:p>
            <w:r>
              <w:rPr>
                <w:sz w:val="15"/>
              </w:rPr>
              <w:t>nonVisitedRetailers</w:t>
            </w:r>
          </w:p>
        </w:tc>
        <w:tc>
          <w:tcPr>
            <w:tcW w:type="dxa" w:w="5904"/>
            <w:vAlign w:val="top"/>
          </w:tcPr>
          <w:p>
            <w:r>
              <w:rPr>
                <w:sz w:val="15"/>
              </w:rPr>
              <w:t>Non-visited retailers</w:t>
            </w:r>
          </w:p>
        </w:tc>
      </w:tr>
      <w:tr>
        <w:tc>
          <w:tcPr>
            <w:tcW w:type="dxa" w:w="1872"/>
            <w:vAlign w:val="top"/>
          </w:tcPr>
          <w:p>
            <w:r>
              <w:rPr>
                <w:sz w:val="15"/>
              </w:rPr>
              <w:t>HR/SFA</w:t>
            </w:r>
          </w:p>
        </w:tc>
        <w:tc>
          <w:tcPr>
            <w:tcW w:type="dxa" w:w="2880"/>
            <w:vAlign w:val="top"/>
          </w:tcPr>
          <w:p>
            <w:r>
              <w:rPr>
                <w:sz w:val="15"/>
              </w:rPr>
              <w:t>distributorVisits</w:t>
            </w:r>
          </w:p>
        </w:tc>
        <w:tc>
          <w:tcPr>
            <w:tcW w:type="dxa" w:w="5904"/>
            <w:vAlign w:val="top"/>
          </w:tcPr>
          <w:p>
            <w:r>
              <w:rPr>
                <w:sz w:val="15"/>
              </w:rPr>
              <w:t>Distributor visits</w:t>
            </w:r>
          </w:p>
        </w:tc>
      </w:tr>
      <w:tr>
        <w:tc>
          <w:tcPr>
            <w:tcW w:type="dxa" w:w="1872"/>
            <w:vAlign w:val="top"/>
          </w:tcPr>
          <w:p>
            <w:r>
              <w:rPr>
                <w:sz w:val="15"/>
              </w:rPr>
              <w:t>HR/SFA</w:t>
            </w:r>
          </w:p>
        </w:tc>
        <w:tc>
          <w:tcPr>
            <w:tcW w:type="dxa" w:w="2880"/>
            <w:vAlign w:val="top"/>
          </w:tcPr>
          <w:p>
            <w:r>
              <w:rPr>
                <w:sz w:val="15"/>
              </w:rPr>
              <w:t>directDealerVisits</w:t>
            </w:r>
          </w:p>
        </w:tc>
        <w:tc>
          <w:tcPr>
            <w:tcW w:type="dxa" w:w="5904"/>
            <w:vAlign w:val="top"/>
          </w:tcPr>
          <w:p>
            <w:r>
              <w:rPr>
                <w:sz w:val="15"/>
              </w:rPr>
              <w:t>Direct-dealer visits</w:t>
            </w:r>
          </w:p>
        </w:tc>
      </w:tr>
      <w:tr>
        <w:tc>
          <w:tcPr>
            <w:tcW w:type="dxa" w:w="1872"/>
            <w:vAlign w:val="top"/>
          </w:tcPr>
          <w:p>
            <w:r>
              <w:rPr>
                <w:sz w:val="15"/>
              </w:rPr>
              <w:t>HR/SFA</w:t>
            </w:r>
          </w:p>
        </w:tc>
        <w:tc>
          <w:tcPr>
            <w:tcW w:type="dxa" w:w="2880"/>
            <w:vAlign w:val="top"/>
          </w:tcPr>
          <w:p>
            <w:r>
              <w:rPr>
                <w:sz w:val="15"/>
              </w:rPr>
              <w:t>DD lead counters/visits</w:t>
            </w:r>
          </w:p>
        </w:tc>
        <w:tc>
          <w:tcPr>
            <w:tcW w:type="dxa" w:w="5904"/>
            <w:vAlign w:val="top"/>
          </w:tcPr>
          <w:p>
            <w:r>
              <w:rPr>
                <w:sz w:val="15"/>
              </w:rPr>
              <w:t>Direct-dealer lead activity</w:t>
            </w:r>
          </w:p>
        </w:tc>
      </w:tr>
      <w:tr>
        <w:tc>
          <w:tcPr>
            <w:tcW w:type="dxa" w:w="1872"/>
            <w:vAlign w:val="top"/>
          </w:tcPr>
          <w:p>
            <w:r>
              <w:rPr>
                <w:sz w:val="15"/>
              </w:rPr>
              <w:t>HR/SFA</w:t>
            </w:r>
          </w:p>
        </w:tc>
        <w:tc>
          <w:tcPr>
            <w:tcW w:type="dxa" w:w="2880"/>
            <w:vAlign w:val="top"/>
          </w:tcPr>
          <w:p>
            <w:r>
              <w:rPr>
                <w:sz w:val="15"/>
              </w:rPr>
              <w:t>lead and non-lead visits</w:t>
            </w:r>
          </w:p>
        </w:tc>
        <w:tc>
          <w:tcPr>
            <w:tcW w:type="dxa" w:w="5904"/>
            <w:vAlign w:val="top"/>
          </w:tcPr>
          <w:p>
            <w:r>
              <w:rPr>
                <w:sz w:val="15"/>
              </w:rPr>
              <w:t>Lead classification activity</w:t>
            </w:r>
          </w:p>
        </w:tc>
      </w:tr>
      <w:tr>
        <w:tc>
          <w:tcPr>
            <w:tcW w:type="dxa" w:w="1872"/>
            <w:vAlign w:val="top"/>
          </w:tcPr>
          <w:p>
            <w:r>
              <w:rPr>
                <w:sz w:val="15"/>
              </w:rPr>
              <w:t>HR/SFA</w:t>
            </w:r>
          </w:p>
        </w:tc>
        <w:tc>
          <w:tcPr>
            <w:tcW w:type="dxa" w:w="2880"/>
            <w:vAlign w:val="top"/>
          </w:tcPr>
          <w:p>
            <w:r>
              <w:rPr>
                <w:sz w:val="15"/>
              </w:rPr>
              <w:t>active-party visits</w:t>
            </w:r>
          </w:p>
        </w:tc>
        <w:tc>
          <w:tcPr>
            <w:tcW w:type="dxa" w:w="5904"/>
            <w:vAlign w:val="top"/>
          </w:tcPr>
          <w:p>
            <w:r>
              <w:rPr>
                <w:sz w:val="15"/>
              </w:rPr>
              <w:t>Visits to active parties</w:t>
            </w:r>
          </w:p>
        </w:tc>
      </w:tr>
      <w:tr>
        <w:tc>
          <w:tcPr>
            <w:tcW w:type="dxa" w:w="1872"/>
            <w:vAlign w:val="top"/>
          </w:tcPr>
          <w:p>
            <w:r>
              <w:rPr>
                <w:sz w:val="15"/>
              </w:rPr>
              <w:t>HR/SFA</w:t>
            </w:r>
          </w:p>
        </w:tc>
        <w:tc>
          <w:tcPr>
            <w:tcW w:type="dxa" w:w="2880"/>
            <w:vAlign w:val="top"/>
          </w:tcPr>
          <w:p>
            <w:r>
              <w:rPr>
                <w:sz w:val="15"/>
              </w:rPr>
              <w:t>business-received visits</w:t>
            </w:r>
          </w:p>
        </w:tc>
        <w:tc>
          <w:tcPr>
            <w:tcW w:type="dxa" w:w="5904"/>
            <w:vAlign w:val="top"/>
          </w:tcPr>
          <w:p>
            <w:r>
              <w:rPr>
                <w:sz w:val="15"/>
              </w:rPr>
              <w:t>Visits producing business</w:t>
            </w:r>
          </w:p>
        </w:tc>
      </w:tr>
      <w:tr>
        <w:tc>
          <w:tcPr>
            <w:tcW w:type="dxa" w:w="1872"/>
            <w:vAlign w:val="top"/>
          </w:tcPr>
          <w:p>
            <w:r>
              <w:rPr>
                <w:sz w:val="15"/>
              </w:rPr>
              <w:t>HR/SFA</w:t>
            </w:r>
          </w:p>
        </w:tc>
        <w:tc>
          <w:tcPr>
            <w:tcW w:type="dxa" w:w="2880"/>
            <w:vAlign w:val="top"/>
          </w:tcPr>
          <w:p>
            <w:r>
              <w:rPr>
                <w:sz w:val="15"/>
              </w:rPr>
              <w:t>visitedNoBusinessReceived</w:t>
            </w:r>
          </w:p>
        </w:tc>
        <w:tc>
          <w:tcPr>
            <w:tcW w:type="dxa" w:w="5904"/>
            <w:vAlign w:val="top"/>
          </w:tcPr>
          <w:p>
            <w:r>
              <w:rPr>
                <w:sz w:val="15"/>
              </w:rPr>
              <w:t>Visited but no business</w:t>
            </w:r>
          </w:p>
        </w:tc>
      </w:tr>
      <w:tr>
        <w:tc>
          <w:tcPr>
            <w:tcW w:type="dxa" w:w="1872"/>
            <w:vAlign w:val="top"/>
          </w:tcPr>
          <w:p>
            <w:r>
              <w:rPr>
                <w:sz w:val="15"/>
              </w:rPr>
              <w:t>HR/SFA</w:t>
            </w:r>
          </w:p>
        </w:tc>
        <w:tc>
          <w:tcPr>
            <w:tcW w:type="dxa" w:w="2880"/>
            <w:vAlign w:val="top"/>
          </w:tcPr>
          <w:p>
            <w:r>
              <w:rPr>
                <w:sz w:val="15"/>
              </w:rPr>
              <w:t>noVisitNoBusiness</w:t>
            </w:r>
          </w:p>
        </w:tc>
        <w:tc>
          <w:tcPr>
            <w:tcW w:type="dxa" w:w="5904"/>
            <w:vAlign w:val="top"/>
          </w:tcPr>
          <w:p>
            <w:r>
              <w:rPr>
                <w:sz w:val="15"/>
              </w:rPr>
              <w:t>No visit and no business</w:t>
            </w:r>
          </w:p>
        </w:tc>
      </w:tr>
      <w:tr>
        <w:tc>
          <w:tcPr>
            <w:tcW w:type="dxa" w:w="1872"/>
            <w:vAlign w:val="top"/>
          </w:tcPr>
          <w:p>
            <w:r>
              <w:rPr>
                <w:sz w:val="15"/>
              </w:rPr>
              <w:t>HR/SFA</w:t>
            </w:r>
          </w:p>
        </w:tc>
        <w:tc>
          <w:tcPr>
            <w:tcW w:type="dxa" w:w="2880"/>
            <w:vAlign w:val="top"/>
          </w:tcPr>
          <w:p>
            <w:r>
              <w:rPr>
                <w:sz w:val="15"/>
              </w:rPr>
              <w:t>workingHours / gpsKm / avgDistance</w:t>
            </w:r>
          </w:p>
        </w:tc>
        <w:tc>
          <w:tcPr>
            <w:tcW w:type="dxa" w:w="5904"/>
            <w:vAlign w:val="top"/>
          </w:tcPr>
          <w:p>
            <w:r>
              <w:rPr>
                <w:sz w:val="15"/>
              </w:rPr>
              <w:t>Field activity measures</w:t>
            </w:r>
          </w:p>
        </w:tc>
      </w:tr>
    </w:tbl>
    <w:p>
      <w:pPr>
        <w:spacing w:after="40"/>
      </w:pPr>
    </w:p>
    <w:p>
      <w:pPr>
        <w:pStyle w:val="Heading2"/>
      </w:pPr>
      <w:r>
        <w:t>1.5 Visit-related calculations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7324D"/>
            <w:vAlign w:val="center"/>
          </w:tcPr>
          <w:p>
            <w:r>
              <w:rPr>
                <w:b/>
                <w:color w:val="FFFFFF"/>
                <w:sz w:val="16"/>
              </w:rPr>
              <w:t>Calculation</w:t>
            </w:r>
          </w:p>
        </w:tc>
        <w:tc>
          <w:tcPr>
            <w:tcW w:type="dxa" w:w="4032"/>
            <w:shd w:fill="17324D"/>
            <w:vAlign w:val="center"/>
          </w:tcPr>
          <w:p>
            <w:r>
              <w:rPr>
                <w:b/>
                <w:color w:val="FFFFFF"/>
                <w:sz w:val="16"/>
              </w:rPr>
              <w:t>Formula</w:t>
            </w:r>
          </w:p>
        </w:tc>
        <w:tc>
          <w:tcPr>
            <w:tcW w:type="dxa" w:w="4320"/>
            <w:shd w:fill="17324D"/>
            <w:vAlign w:val="center"/>
          </w:tcPr>
          <w:p>
            <w:r>
              <w:rPr>
                <w:b/>
                <w:color w:val="FFFFFF"/>
                <w:sz w:val="16"/>
              </w:rPr>
              <w:t>Purpose</w:t>
            </w:r>
          </w:p>
        </w:tc>
      </w:tr>
      <w:tr>
        <w:tc>
          <w:tcPr>
            <w:tcW w:type="dxa" w:w="2304"/>
            <w:vAlign w:val="top"/>
          </w:tcPr>
          <w:p>
            <w:r>
              <w:rPr>
                <w:sz w:val="15"/>
              </w:rPr>
              <w:t>Total visits done</w:t>
            </w:r>
          </w:p>
        </w:tc>
        <w:tc>
          <w:tcPr>
            <w:tcW w:type="dxa" w:w="4032"/>
            <w:vAlign w:val="top"/>
          </w:tcPr>
          <w:p>
            <w:r>
              <w:rPr>
                <w:sz w:val="15"/>
              </w:rPr>
              <w:t>Σ (retailer.totalVisit or 0)</w:t>
            </w:r>
          </w:p>
        </w:tc>
        <w:tc>
          <w:tcPr>
            <w:tcW w:type="dxa" w:w="4320"/>
            <w:vAlign w:val="top"/>
          </w:tcPr>
          <w:p>
            <w:r>
              <w:rPr>
                <w:sz w:val="15"/>
              </w:rPr>
              <w:t>Measures actual visits from current member-sheet rows.</w:t>
            </w:r>
          </w:p>
        </w:tc>
      </w:tr>
      <w:tr>
        <w:tc>
          <w:tcPr>
            <w:tcW w:type="dxa" w:w="2304"/>
            <w:vAlign w:val="top"/>
          </w:tcPr>
          <w:p>
            <w:r>
              <w:rPr>
                <w:sz w:val="15"/>
              </w:rPr>
              <w:t>Total visits required</w:t>
            </w:r>
          </w:p>
        </w:tc>
        <w:tc>
          <w:tcPr>
            <w:tcW w:type="dxa" w:w="4032"/>
            <w:vAlign w:val="top"/>
          </w:tcPr>
          <w:p>
            <w:r>
              <w:rPr>
                <w:sz w:val="15"/>
              </w:rPr>
              <w:t>Σ (retailer.visitsRequired or 0)</w:t>
            </w:r>
          </w:p>
        </w:tc>
        <w:tc>
          <w:tcPr>
            <w:tcW w:type="dxa" w:w="4320"/>
            <w:vAlign w:val="top"/>
          </w:tcPr>
          <w:p>
            <w:r>
              <w:rPr>
                <w:sz w:val="15"/>
              </w:rPr>
              <w:t>Measures the annual requirement from current member-sheet rows.</w:t>
            </w:r>
          </w:p>
        </w:tc>
      </w:tr>
      <w:tr>
        <w:tc>
          <w:tcPr>
            <w:tcW w:type="dxa" w:w="2304"/>
            <w:vAlign w:val="top"/>
          </w:tcPr>
          <w:p>
            <w:r>
              <w:rPr>
                <w:sz w:val="15"/>
              </w:rPr>
              <w:t>Elapsed fractional months</w:t>
            </w:r>
          </w:p>
        </w:tc>
        <w:tc>
          <w:tcPr>
            <w:tcW w:type="dxa" w:w="4032"/>
            <w:vAlign w:val="top"/>
          </w:tcPr>
          <w:p>
            <w:r>
              <w:rPr>
                <w:sz w:val="15"/>
              </w:rPr>
              <w:t>whole FY months + current day / days in current month</w:t>
            </w:r>
          </w:p>
        </w:tc>
        <w:tc>
          <w:tcPr>
            <w:tcW w:type="dxa" w:w="4320"/>
            <w:vAlign w:val="top"/>
          </w:tcPr>
          <w:p>
            <w:r>
              <w:rPr>
                <w:sz w:val="15"/>
              </w:rPr>
              <w:t>Day-aware FY progress from 1 April.</w:t>
            </w:r>
          </w:p>
        </w:tc>
      </w:tr>
      <w:tr>
        <w:tc>
          <w:tcPr>
            <w:tcW w:type="dxa" w:w="2304"/>
            <w:vAlign w:val="top"/>
          </w:tcPr>
          <w:p>
            <w:r>
              <w:rPr>
                <w:sz w:val="15"/>
              </w:rPr>
              <w:t>Pro-rated required</w:t>
            </w:r>
          </w:p>
        </w:tc>
        <w:tc>
          <w:tcPr>
            <w:tcW w:type="dxa" w:w="4032"/>
            <w:vAlign w:val="top"/>
          </w:tcPr>
          <w:p>
            <w:r>
              <w:rPr>
                <w:sz w:val="15"/>
              </w:rPr>
              <w:t>round(total required × elapsed months / 12)</w:t>
            </w:r>
          </w:p>
        </w:tc>
        <w:tc>
          <w:tcPr>
            <w:tcW w:type="dxa" w:w="4320"/>
            <w:vAlign w:val="top"/>
          </w:tcPr>
          <w:p>
            <w:r>
              <w:rPr>
                <w:sz w:val="15"/>
              </w:rPr>
              <w:t>Evaluates required pace; does not create a schedule.</w:t>
            </w:r>
          </w:p>
        </w:tc>
      </w:tr>
      <w:tr>
        <w:tc>
          <w:tcPr>
            <w:tcW w:type="dxa" w:w="2304"/>
            <w:vAlign w:val="top"/>
          </w:tcPr>
          <w:p>
            <w:r>
              <w:rPr>
                <w:sz w:val="15"/>
              </w:rPr>
              <w:t>Visit deficit</w:t>
            </w:r>
          </w:p>
        </w:tc>
        <w:tc>
          <w:tcPr>
            <w:tcW w:type="dxa" w:w="4032"/>
            <w:vAlign w:val="top"/>
          </w:tcPr>
          <w:p>
            <w:r>
              <w:rPr>
                <w:sz w:val="15"/>
              </w:rPr>
              <w:t>pro-rated required − visits done</w:t>
            </w:r>
          </w:p>
        </w:tc>
        <w:tc>
          <w:tcPr>
            <w:tcW w:type="dxa" w:w="4320"/>
            <w:vAlign w:val="top"/>
          </w:tcPr>
          <w:p>
            <w:r>
              <w:rPr>
                <w:sz w:val="15"/>
              </w:rPr>
              <w:t>Positive means visits are behind the pro-rated requirement.</w:t>
            </w:r>
          </w:p>
        </w:tc>
      </w:tr>
      <w:tr>
        <w:tc>
          <w:tcPr>
            <w:tcW w:type="dxa" w:w="2304"/>
            <w:vAlign w:val="top"/>
          </w:tcPr>
          <w:p>
            <w:r>
              <w:rPr>
                <w:sz w:val="15"/>
              </w:rPr>
              <w:t>Historical coverage</w:t>
            </w:r>
          </w:p>
        </w:tc>
        <w:tc>
          <w:tcPr>
            <w:tcW w:type="dxa" w:w="4032"/>
            <w:vAlign w:val="top"/>
          </w:tcPr>
          <w:p>
            <w:r>
              <w:rPr>
                <w:sz w:val="15"/>
              </w:rPr>
              <w:t>historical done / historical required × 100</w:t>
            </w:r>
          </w:p>
        </w:tc>
        <w:tc>
          <w:tcPr>
            <w:tcW w:type="dxa" w:w="4320"/>
            <w:vAlign w:val="top"/>
          </w:tcPr>
          <w:p>
            <w:r>
              <w:rPr>
                <w:sz w:val="15"/>
              </w:rPr>
              <w:t>Unavailable when required is zero.</w:t>
            </w:r>
          </w:p>
        </w:tc>
      </w:tr>
      <w:tr>
        <w:tc>
          <w:tcPr>
            <w:tcW w:type="dxa" w:w="2304"/>
            <w:vAlign w:val="top"/>
          </w:tcPr>
          <w:p>
            <w:r>
              <w:rPr>
                <w:sz w:val="15"/>
              </w:rPr>
              <w:t>Demonstrated visit rate</w:t>
            </w:r>
          </w:p>
        </w:tc>
        <w:tc>
          <w:tcPr>
            <w:tcW w:type="dxa" w:w="4032"/>
            <w:vAlign w:val="top"/>
          </w:tcPr>
          <w:p>
            <w:r>
              <w:rPr>
                <w:sz w:val="15"/>
              </w:rPr>
              <w:t>visits done / effective working days</w:t>
            </w:r>
          </w:p>
        </w:tc>
        <w:tc>
          <w:tcPr>
            <w:tcW w:type="dxa" w:w="4320"/>
            <w:vAlign w:val="top"/>
          </w:tcPr>
          <w:p>
            <w:r>
              <w:rPr>
                <w:sz w:val="15"/>
              </w:rPr>
              <w:t>Uses Dashboard AG when positive; otherwise calendar Mon–Sat cutoff days.</w:t>
            </w:r>
          </w:p>
        </w:tc>
      </w:tr>
      <w:tr>
        <w:tc>
          <w:tcPr>
            <w:tcW w:type="dxa" w:w="2304"/>
            <w:vAlign w:val="top"/>
          </w:tcPr>
          <w:p>
            <w:r>
              <w:rPr>
                <w:sz w:val="15"/>
              </w:rPr>
              <w:t>Annual capacity anchor</w:t>
            </w:r>
          </w:p>
        </w:tc>
        <w:tc>
          <w:tcPr>
            <w:tcW w:type="dxa" w:w="4032"/>
            <w:vAlign w:val="top"/>
          </w:tcPr>
          <w:p>
            <w:r>
              <w:rPr>
                <w:sz w:val="15"/>
              </w:rPr>
              <w:t>most recent closed FY actual visits</w:t>
            </w:r>
          </w:p>
        </w:tc>
        <w:tc>
          <w:tcPr>
            <w:tcW w:type="dxa" w:w="4320"/>
            <w:vAlign w:val="top"/>
          </w:tcPr>
          <w:p>
            <w:r>
              <w:rPr>
                <w:sz w:val="15"/>
              </w:rPr>
              <w:t>Fallback: demonstrated rate × full-FY Mon–Sat working days.</w:t>
            </w:r>
          </w:p>
        </w:tc>
      </w:tr>
      <w:tr>
        <w:tc>
          <w:tcPr>
            <w:tcW w:type="dxa" w:w="2304"/>
            <w:vAlign w:val="top"/>
          </w:tcPr>
          <w:p>
            <w:r>
              <w:rPr>
                <w:sz w:val="15"/>
              </w:rPr>
              <w:t>Feasible remaining</w:t>
            </w:r>
          </w:p>
        </w:tc>
        <w:tc>
          <w:tcPr>
            <w:tcW w:type="dxa" w:w="4032"/>
            <w:vAlign w:val="top"/>
          </w:tcPr>
          <w:p>
            <w:r>
              <w:rPr>
                <w:sz w:val="15"/>
              </w:rPr>
              <w:t>max(0, annual anchor − current visits done)</w:t>
            </w:r>
          </w:p>
        </w:tc>
        <w:tc>
          <w:tcPr>
            <w:tcW w:type="dxa" w:w="4320"/>
            <w:vAlign w:val="top"/>
          </w:tcPr>
          <w:p>
            <w:r>
              <w:rPr>
                <w:sz w:val="15"/>
              </w:rPr>
              <w:t>Anchor-based remaining visit capacity.</w:t>
            </w:r>
          </w:p>
        </w:tc>
      </w:tr>
      <w:tr>
        <w:tc>
          <w:tcPr>
            <w:tcW w:type="dxa" w:w="2304"/>
            <w:vAlign w:val="top"/>
          </w:tcPr>
          <w:p>
            <w:r>
              <w:rPr>
                <w:sz w:val="15"/>
              </w:rPr>
              <w:t>Remaining required</w:t>
            </w:r>
          </w:p>
        </w:tc>
        <w:tc>
          <w:tcPr>
            <w:tcW w:type="dxa" w:w="4032"/>
            <w:vAlign w:val="top"/>
          </w:tcPr>
          <w:p>
            <w:r>
              <w:rPr>
                <w:sz w:val="15"/>
              </w:rPr>
              <w:t>max(0, annual required − visits done)</w:t>
            </w:r>
          </w:p>
        </w:tc>
        <w:tc>
          <w:tcPr>
            <w:tcW w:type="dxa" w:w="4320"/>
            <w:vAlign w:val="top"/>
          </w:tcPr>
          <w:p>
            <w:r>
              <w:rPr>
                <w:sz w:val="15"/>
              </w:rPr>
              <w:t>Annual target still outstanding.</w:t>
            </w:r>
          </w:p>
        </w:tc>
      </w:tr>
      <w:tr>
        <w:tc>
          <w:tcPr>
            <w:tcW w:type="dxa" w:w="2304"/>
            <w:vAlign w:val="top"/>
          </w:tcPr>
          <w:p>
            <w:r>
              <w:rPr>
                <w:sz w:val="15"/>
              </w:rPr>
              <w:t>Capacity gap</w:t>
            </w:r>
          </w:p>
        </w:tc>
        <w:tc>
          <w:tcPr>
            <w:tcW w:type="dxa" w:w="4032"/>
            <w:vAlign w:val="top"/>
          </w:tcPr>
          <w:p>
            <w:r>
              <w:rPr>
                <w:sz w:val="15"/>
              </w:rPr>
              <w:t>feasible remaining − remaining required</w:t>
            </w:r>
          </w:p>
        </w:tc>
        <w:tc>
          <w:tcPr>
            <w:tcW w:type="dxa" w:w="4320"/>
            <w:vAlign w:val="top"/>
          </w:tcPr>
          <w:p>
            <w:r>
              <w:rPr>
                <w:sz w:val="15"/>
              </w:rPr>
              <w:t>Positive = capacity surplus; negative = capacity shortfall.</w:t>
            </w:r>
          </w:p>
        </w:tc>
      </w:tr>
      <w:tr>
        <w:tc>
          <w:tcPr>
            <w:tcW w:type="dxa" w:w="2304"/>
            <w:vAlign w:val="top"/>
          </w:tcPr>
          <w:p>
            <w:r>
              <w:rPr>
                <w:sz w:val="15"/>
              </w:rPr>
              <w:t>Monthly proportional capacity</w:t>
            </w:r>
          </w:p>
        </w:tc>
        <w:tc>
          <w:tcPr>
            <w:tcW w:type="dxa" w:w="4032"/>
            <w:vAlign w:val="top"/>
          </w:tcPr>
          <w:p>
            <w:r>
              <w:rPr>
                <w:sz w:val="15"/>
              </w:rPr>
              <w:t>round(feasible remaining × month working days / all remaining working days)</w:t>
            </w:r>
          </w:p>
        </w:tc>
        <w:tc>
          <w:tcPr>
            <w:tcW w:type="dxa" w:w="4320"/>
            <w:vAlign w:val="top"/>
          </w:tcPr>
          <w:p>
            <w:r>
              <w:rPr>
                <w:sz w:val="15"/>
              </w:rPr>
              <w:t>Generates monthly capacity allocation.</w:t>
            </w:r>
          </w:p>
        </w:tc>
      </w:tr>
      <w:tr>
        <w:tc>
          <w:tcPr>
            <w:tcW w:type="dxa" w:w="2304"/>
            <w:vAlign w:val="top"/>
          </w:tcPr>
          <w:p>
            <w:r>
              <w:rPr>
                <w:sz w:val="15"/>
              </w:rPr>
              <w:t>Monthly cadence per active retailer</w:t>
            </w:r>
          </w:p>
        </w:tc>
        <w:tc>
          <w:tcPr>
            <w:tcW w:type="dxa" w:w="4032"/>
            <w:vAlign w:val="top"/>
          </w:tcPr>
          <w:p>
            <w:r>
              <w:rPr>
                <w:sz w:val="15"/>
              </w:rPr>
              <w:t>max(1, round((visitsRequired or 12) / 12))</w:t>
            </w:r>
          </w:p>
        </w:tc>
        <w:tc>
          <w:tcPr>
            <w:tcW w:type="dxa" w:w="4320"/>
            <w:vAlign w:val="top"/>
          </w:tcPr>
          <w:p>
            <w:r>
              <w:rPr>
                <w:sz w:val="15"/>
              </w:rPr>
              <w:t>Annual requirement converted to monthly cadence.</w:t>
            </w:r>
          </w:p>
        </w:tc>
      </w:tr>
      <w:tr>
        <w:tc>
          <w:tcPr>
            <w:tcW w:type="dxa" w:w="2304"/>
            <w:vAlign w:val="top"/>
          </w:tcPr>
          <w:p>
            <w:r>
              <w:rPr>
                <w:sz w:val="15"/>
              </w:rPr>
              <w:t>Maintenance budget</w:t>
            </w:r>
          </w:p>
        </w:tc>
        <w:tc>
          <w:tcPr>
            <w:tcW w:type="dxa" w:w="4032"/>
            <w:vAlign w:val="top"/>
          </w:tcPr>
          <w:p>
            <w:r>
              <w:rPr>
                <w:sz w:val="15"/>
              </w:rPr>
              <w:t>min(month capacity, total active-retailer cadence)</w:t>
            </w:r>
          </w:p>
        </w:tc>
        <w:tc>
          <w:tcPr>
            <w:tcW w:type="dxa" w:w="4320"/>
            <w:vAlign w:val="top"/>
          </w:tcPr>
          <w:p>
            <w:r>
              <w:rPr>
                <w:sz w:val="15"/>
              </w:rPr>
              <w:t>Aggregate monthly maintenance visits.</w:t>
            </w:r>
          </w:p>
        </w:tc>
      </w:tr>
      <w:tr>
        <w:tc>
          <w:tcPr>
            <w:tcW w:type="dxa" w:w="2304"/>
            <w:vAlign w:val="top"/>
          </w:tcPr>
          <w:p>
            <w:r>
              <w:rPr>
                <w:sz w:val="15"/>
              </w:rPr>
              <w:t>Development budget</w:t>
            </w:r>
          </w:p>
        </w:tc>
        <w:tc>
          <w:tcPr>
            <w:tcW w:type="dxa" w:w="4032"/>
            <w:vAlign w:val="top"/>
          </w:tcPr>
          <w:p>
            <w:r>
              <w:rPr>
                <w:sz w:val="15"/>
              </w:rPr>
              <w:t>max(0, month capacity − maintenance budget)</w:t>
            </w:r>
          </w:p>
        </w:tc>
        <w:tc>
          <w:tcPr>
            <w:tcW w:type="dxa" w:w="4320"/>
            <w:vAlign w:val="top"/>
          </w:tcPr>
          <w:p>
            <w:r>
              <w:rPr>
                <w:sz w:val="15"/>
              </w:rPr>
              <w:t>Aggregate monthly development visits.</w:t>
            </w:r>
          </w:p>
        </w:tc>
      </w:tr>
      <w:tr>
        <w:tc>
          <w:tcPr>
            <w:tcW w:type="dxa" w:w="2304"/>
            <w:vAlign w:val="top"/>
          </w:tcPr>
          <w:p>
            <w:r>
              <w:rPr>
                <w:sz w:val="15"/>
              </w:rPr>
              <w:t>Retailer priority score</w:t>
            </w:r>
          </w:p>
        </w:tc>
        <w:tc>
          <w:tcPr>
            <w:tcW w:type="dxa" w:w="4032"/>
            <w:vAlign w:val="top"/>
          </w:tcPr>
          <w:p>
            <w:r>
              <w:rPr>
                <w:sz w:val="15"/>
              </w:rPr>
              <w:t>(businessPlan or ₹50,000) / max(distanceKm or 20, 5)</w:t>
            </w:r>
          </w:p>
        </w:tc>
        <w:tc>
          <w:tcPr>
            <w:tcW w:type="dxa" w:w="4320"/>
            <w:vAlign w:val="top"/>
          </w:tcPr>
          <w:p>
            <w:r>
              <w:rPr>
                <w:sz w:val="15"/>
              </w:rPr>
              <w:t>Ranks dormant/development candidates.</w:t>
            </w:r>
          </w:p>
        </w:tc>
      </w:tr>
      <w:tr>
        <w:tc>
          <w:tcPr>
            <w:tcW w:type="dxa" w:w="2304"/>
            <w:vAlign w:val="top"/>
          </w:tcPr>
          <w:p>
            <w:r>
              <w:rPr>
                <w:sz w:val="15"/>
              </w:rPr>
              <w:t>Visited-zero-order</w:t>
            </w:r>
          </w:p>
        </w:tc>
        <w:tc>
          <w:tcPr>
            <w:tcW w:type="dxa" w:w="4032"/>
            <w:vAlign w:val="top"/>
          </w:tcPr>
          <w:p>
            <w:r>
              <w:rPr>
                <w:sz w:val="15"/>
              </w:rPr>
              <w:t>totalVisit &gt; 0 and OB = 0 and sale = 0</w:t>
            </w:r>
          </w:p>
        </w:tc>
        <w:tc>
          <w:tcPr>
            <w:tcW w:type="dxa" w:w="4320"/>
            <w:vAlign w:val="top"/>
          </w:tcPr>
          <w:p>
            <w:r>
              <w:rPr>
                <w:sz w:val="15"/>
              </w:rPr>
              <w:t>Flags visits that produced no order or sales.</w:t>
            </w:r>
          </w:p>
        </w:tc>
      </w:tr>
      <w:tr>
        <w:tc>
          <w:tcPr>
            <w:tcW w:type="dxa" w:w="2304"/>
            <w:vAlign w:val="top"/>
          </w:tcPr>
          <w:p>
            <w:r>
              <w:rPr>
                <w:sz w:val="15"/>
              </w:rPr>
              <w:t>Distance bucket averages</w:t>
            </w:r>
          </w:p>
        </w:tc>
        <w:tc>
          <w:tcPr>
            <w:tcW w:type="dxa" w:w="4032"/>
            <w:vAlign w:val="top"/>
          </w:tcPr>
          <w:p>
            <w:r>
              <w:rPr>
                <w:sz w:val="15"/>
              </w:rPr>
              <w:t>visits/count and OB/count for Near, Mid, Far</w:t>
            </w:r>
          </w:p>
        </w:tc>
        <w:tc>
          <w:tcPr>
            <w:tcW w:type="dxa" w:w="4320"/>
            <w:vAlign w:val="top"/>
          </w:tcPr>
          <w:p>
            <w:r>
              <w:rPr>
                <w:sz w:val="15"/>
              </w:rPr>
              <w:t>Missing distance defaults to 20 km.</w:t>
            </w:r>
          </w:p>
        </w:tc>
      </w:tr>
    </w:tbl>
    <w:p>
      <w:pPr>
        <w:spacing w:after="40"/>
      </w:pPr>
    </w:p>
    <w:p>
      <w:pPr>
        <w:pStyle w:val="Heading2"/>
      </w:pPr>
      <w:r>
        <w:t>1.6 Forward VisitPlan output and target selection</w:t>
      </w:r>
    </w:p>
    <w:p>
      <w:r>
        <w:t xml:space="preserve">Each remaining month contains: </w:t>
      </w:r>
      <w:r>
        <w:rPr>
          <w:b/>
        </w:rPr>
        <w:t>month, workingDays, capacity, maintenanceVisits, developmentVisits, targets, poolExhausted.</w:t>
      </w:r>
    </w:p>
    <w:p>
      <w:r>
        <w:t xml:space="preserve">Each target contains: </w:t>
      </w:r>
      <w:r>
        <w:rPr>
          <w:b/>
        </w:rPr>
        <w:t>name, district, distanceKm, OB, businessPlan, visitsDone, priority and reason.</w:t>
      </w:r>
    </w:p>
    <w:tbl>
      <w:tblPr>
        <w:tblStyle w:val="TableGrid"/>
        <w:tblW w:type="auto" w:w="0"/>
        <w:jc w:val="center"/>
        <w:tblLook w:firstColumn="1" w:firstRow="1" w:lastColumn="0" w:lastRow="0" w:noHBand="0" w:noVBand="1" w:val="04A0"/>
      </w:tblPr>
      <w:tblGrid>
        <w:gridCol w:w="5112"/>
        <w:gridCol w:w="5112"/>
      </w:tblGrid>
      <w:tr>
        <w:tc>
          <w:tcPr>
            <w:tcW w:type="dxa" w:w="2016"/>
            <w:shd w:fill="17324D"/>
            <w:vAlign w:val="center"/>
          </w:tcPr>
          <w:p>
            <w:r>
              <w:rPr>
                <w:b/>
                <w:color w:val="FFFFFF"/>
                <w:sz w:val="16"/>
              </w:rPr>
              <w:t>Priority</w:t>
            </w:r>
          </w:p>
        </w:tc>
        <w:tc>
          <w:tcPr>
            <w:tcW w:type="dxa" w:w="8640"/>
            <w:shd w:fill="17324D"/>
            <w:vAlign w:val="center"/>
          </w:tcPr>
          <w:p>
            <w:r>
              <w:rPr>
                <w:b/>
                <w:color w:val="FFFFFF"/>
                <w:sz w:val="16"/>
              </w:rPr>
              <w:t>Selection rule</w:t>
            </w:r>
          </w:p>
        </w:tc>
      </w:tr>
      <w:tr>
        <w:tc>
          <w:tcPr>
            <w:tcW w:type="dxa" w:w="2016"/>
            <w:vAlign w:val="top"/>
          </w:tcPr>
          <w:p>
            <w:r>
              <w:rPr>
                <w:sz w:val="15"/>
              </w:rPr>
              <w:t>Maintain</w:t>
            </w:r>
          </w:p>
        </w:tc>
        <w:tc>
          <w:tcPr>
            <w:tcW w:type="dxa" w:w="8640"/>
            <w:vAlign w:val="top"/>
          </w:tcPr>
          <w:p>
            <w:r>
              <w:rPr>
                <w:sz w:val="15"/>
              </w:rPr>
              <w:t>Active retailers, sorted by order booking; top five are included each month.</w:t>
            </w:r>
          </w:p>
        </w:tc>
      </w:tr>
      <w:tr>
        <w:tc>
          <w:tcPr>
            <w:tcW w:type="dxa" w:w="2016"/>
            <w:vAlign w:val="top"/>
          </w:tcPr>
          <w:p>
            <w:r>
              <w:rPr>
                <w:sz w:val="15"/>
              </w:rPr>
              <w:t>Develop</w:t>
            </w:r>
          </w:p>
        </w:tc>
        <w:tc>
          <w:tcPr>
            <w:tcW w:type="dxa" w:w="8640"/>
            <w:vAlign w:val="top"/>
          </w:tcPr>
          <w:p>
            <w:r>
              <w:rPr>
                <w:sz w:val="15"/>
              </w:rPr>
              <w:t>Inactive, assigned, untouched retailers; ranked by businessPlan/distance; selected names are removed from later-month pools.</w:t>
            </w:r>
          </w:p>
        </w:tc>
      </w:tr>
      <w:tr>
        <w:tc>
          <w:tcPr>
            <w:tcW w:type="dxa" w:w="2016"/>
            <w:vAlign w:val="top"/>
          </w:tcPr>
          <w:p>
            <w:r>
              <w:rPr>
                <w:sz w:val="15"/>
              </w:rPr>
              <w:t>Reduce</w:t>
            </w:r>
          </w:p>
        </w:tc>
        <w:tc>
          <w:tcPr>
            <w:tcW w:type="dxa" w:w="8640"/>
            <w:vAlign w:val="top"/>
          </w:tcPr>
          <w:p>
            <w:r>
              <w:rPr>
                <w:sz w:val="15"/>
              </w:rPr>
              <w:t>Visited inactive retailer with zero OB; at most one is appended when space remains.</w:t>
            </w:r>
          </w:p>
        </w:tc>
      </w:tr>
      <w:tr>
        <w:tc>
          <w:tcPr>
            <w:tcW w:type="dxa" w:w="2016"/>
            <w:vAlign w:val="top"/>
          </w:tcPr>
          <w:p>
            <w:r>
              <w:rPr>
                <w:sz w:val="15"/>
              </w:rPr>
              <w:t>Excluded</w:t>
            </w:r>
          </w:p>
        </w:tc>
        <w:tc>
          <w:tcPr>
            <w:tcW w:type="dxa" w:w="8640"/>
            <w:vAlign w:val="top"/>
          </w:tcPr>
          <w:p>
            <w:r>
              <w:rPr>
                <w:sz w:val="15"/>
              </w:rPr>
              <w:t>Retailers without a distributor are excluded from forward scheduling and counted separately.</w:t>
            </w:r>
          </w:p>
        </w:tc>
      </w:tr>
    </w:tbl>
    <w:p>
      <w:pPr>
        <w:spacing w:after="40"/>
      </w:pPr>
    </w:p>
    <w:p>
      <w:pPr>
        <w:pStyle w:val="Heading1"/>
      </w:pPr>
      <w:r>
        <w:t>2. Meaning of “visit-plan proportional calculations”</w:t>
      </w:r>
    </w:p>
    <w:p>
      <w:pPr>
        <w:pStyle w:val="Heading2"/>
      </w:pPr>
      <w:r>
        <w:t>2.1 Pace evaluation</w:t>
      </w:r>
    </w:p>
    <w:p>
      <w:pPr>
        <w:spacing w:after="80"/>
        <w:ind w:left="360"/>
      </w:pPr>
      <w:r>
        <w:rPr>
          <w:b/>
          <w:color w:val="176B87"/>
        </w:rPr>
        <w:t xml:space="preserve">Formula: </w:t>
      </w:r>
      <w:r>
        <w:rPr>
          <w:rFonts w:ascii="Consolas" w:hAnsi="Consolas"/>
          <w:sz w:val="16"/>
        </w:rPr>
        <w:t>proRatedRequired = round(totalVisitsRequired × elapsedFyMonths / 12)</w:t>
      </w:r>
    </w:p>
    <w:p>
      <w:r>
        <w:t>This pro-rates an annual target to answer how many visits should have been completed by the calculation date. It measures pace and does not generate a plan.</w:t>
      </w:r>
    </w:p>
    <w:p>
      <w:pPr>
        <w:pStyle w:val="Heading2"/>
      </w:pPr>
      <w:r>
        <w:t>2.2 Forward capacity allocation</w:t>
      </w:r>
    </w:p>
    <w:p>
      <w:pPr>
        <w:spacing w:after="80"/>
        <w:ind w:left="360"/>
      </w:pPr>
      <w:r>
        <w:rPr>
          <w:b/>
          <w:color w:val="176B87"/>
        </w:rPr>
        <w:t xml:space="preserve">Formula: </w:t>
      </w:r>
      <w:r>
        <w:rPr>
          <w:rFonts w:ascii="Consolas" w:hAnsi="Consolas"/>
          <w:sz w:val="16"/>
        </w:rPr>
        <w:t>monthCapacity = round(feasibleRemainingVisits × monthWorkingDays / totalRemainingWorkingDays)</w:t>
      </w:r>
    </w:p>
    <w:p>
      <w:r>
        <w:t>This does generate a limited monthly plan: capacity, maintenance/development budgets, and prioritised retailer names. It still does not generate dates or route order.</w:t>
      </w:r>
    </w:p>
    <w:p>
      <w:r>
        <w:rPr>
          <w:b/>
        </w:rPr>
        <w:t xml:space="preserve">Prompt 87 A6 context: </w:t>
      </w:r>
      <w:r>
        <w:t>A6 was a wider sweep for annualisation patterns such as YTD × 12 / elapsed months. The normal visit-capacity anchor is the most recent closed FY’s actual visits. Only the no-history fallback annualises the demonstrated daily rate.</w:t>
      </w:r>
    </w:p>
    <w:p>
      <w:pPr>
        <w:pStyle w:val="Heading1"/>
      </w:pPr>
      <w:r>
        <w:t>3. Beat plan, journey plan, route plan and PJP findings</w:t>
      </w:r>
    </w:p>
    <w:p>
      <w:r>
        <w:rPr>
          <w:b/>
        </w:rPr>
        <w:t>No structured PJP, beat, journey, or route-plan system was found.</w:t>
      </w:r>
    </w:p>
    <w:p>
      <w:pPr>
        <w:pStyle w:val="ListBullet"/>
        <w:spacing w:after="20"/>
      </w:pPr>
      <w:r>
        <w:t>No beat master or beat-to-retailer mapping</w:t>
      </w:r>
    </w:p>
    <w:p>
      <w:pPr>
        <w:pStyle w:val="ListBullet"/>
        <w:spacing w:after="20"/>
      </w:pPr>
      <w:r>
        <w:t>No visit date/day assignment</w:t>
      </w:r>
    </w:p>
    <w:p>
      <w:pPr>
        <w:pStyle w:val="ListBullet"/>
        <w:spacing w:after="20"/>
      </w:pPr>
      <w:r>
        <w:t>No route sequence or route optimisation</w:t>
      </w:r>
    </w:p>
    <w:p>
      <w:pPr>
        <w:pStyle w:val="ListBullet"/>
        <w:spacing w:after="20"/>
      </w:pPr>
      <w:r>
        <w:t>No appointment or travel-time fields</w:t>
      </w:r>
    </w:p>
    <w:p>
      <w:pPr>
        <w:pStyle w:val="ListBullet"/>
        <w:spacing w:after="20"/>
      </w:pPr>
      <w:r>
        <w:t>No approval or persisted plan ID</w:t>
      </w:r>
    </w:p>
    <w:p>
      <w:pPr>
        <w:pStyle w:val="ListBullet"/>
        <w:spacing w:after="20"/>
      </w:pPr>
      <w:r>
        <w:t>No planned-versus-completed visit event</w:t>
      </w:r>
    </w:p>
    <w:p>
      <w:pPr>
        <w:pStyle w:val="ListBullet"/>
        <w:spacing w:after="20"/>
      </w:pPr>
      <w:r>
        <w:t>No dedicated PJP/beat/route Excel sheet</w:t>
      </w:r>
    </w:p>
    <w:p>
      <w:pPr>
        <w:pStyle w:val="Heading2"/>
      </w:pPr>
      <w:r>
        <w:t>Computed VisitPlan</w:t>
      </w:r>
    </w:p>
    <w:p>
      <w:r>
        <w:t>The member payload contains an in-memory computed VisitPlan. It is recalculated from connected sheets, may be cached in process, and is not written to the database or Google Sheets.</w:t>
      </w:r>
    </w:p>
    <w:p>
      <w:pPr>
        <w:pStyle w:val="Heading2"/>
      </w:pPr>
      <w:r>
        <w:t>AI travel plan</w:t>
      </w:r>
    </w:p>
    <w:p>
      <w:r>
        <w:t>POST /api/ai/travel-plan converts computed month summaries into narrative itinerary guidance. It returns prose sections plus the existing month plans and capacity. It is not a persisted or structured route/PJP record.</w:t>
      </w:r>
    </w:p>
    <w:p>
      <w:pPr>
        <w:pStyle w:val="Heading2"/>
      </w:pPr>
      <w:r>
        <w:t>Excel</w:t>
      </w:r>
    </w:p>
    <w:p>
      <w:r>
        <w:t>The Sales Deep Dive workbook exports VisitPlan evidence and target rows in Working detail. This is an audit/report export, not an operational journey-plan workbook.</w:t>
      </w:r>
    </w:p>
    <w:p>
      <w:pPr>
        <w:pStyle w:val="Heading1"/>
      </w:pPr>
      <w:r>
        <w:t>4. P41 source-authority matrix</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17324D"/>
            <w:vAlign w:val="center"/>
          </w:tcPr>
          <w:p>
            <w:r>
              <w:rPr>
                <w:b/>
                <w:color w:val="FFFFFF"/>
                <w:sz w:val="16"/>
              </w:rPr>
              <w:t>Figure</w:t>
            </w:r>
          </w:p>
        </w:tc>
        <w:tc>
          <w:tcPr>
            <w:tcW w:type="dxa" w:w="3168"/>
            <w:shd w:fill="17324D"/>
            <w:vAlign w:val="center"/>
          </w:tcPr>
          <w:p>
            <w:r>
              <w:rPr>
                <w:b/>
                <w:color w:val="FFFFFF"/>
                <w:sz w:val="16"/>
              </w:rPr>
              <w:t>Actual source</w:t>
            </w:r>
          </w:p>
        </w:tc>
        <w:tc>
          <w:tcPr>
            <w:tcW w:type="dxa" w:w="4320"/>
            <w:shd w:fill="17324D"/>
            <w:vAlign w:val="center"/>
          </w:tcPr>
          <w:p>
            <w:r>
              <w:rPr>
                <w:b/>
                <w:color w:val="FFFFFF"/>
                <w:sz w:val="16"/>
              </w:rPr>
              <w:t>Interpretation</w:t>
            </w:r>
          </w:p>
        </w:tc>
      </w:tr>
      <w:tr>
        <w:tc>
          <w:tcPr>
            <w:tcW w:type="dxa" w:w="3312"/>
            <w:vAlign w:val="top"/>
          </w:tcPr>
          <w:p>
            <w:r>
              <w:rPr>
                <w:sz w:val="15"/>
              </w:rPr>
              <w:t>Dashboard headline Total Visits / totalVisitsYtd</w:t>
            </w:r>
          </w:p>
        </w:tc>
        <w:tc>
          <w:tcPr>
            <w:tcW w:type="dxa" w:w="3168"/>
            <w:vAlign w:val="top"/>
          </w:tcPr>
          <w:p>
            <w:r>
              <w:rPr>
                <w:sz w:val="15"/>
              </w:rPr>
              <w:t>State Head Dashboard Data tab</w:t>
            </w:r>
          </w:p>
        </w:tc>
        <w:tc>
          <w:tcPr>
            <w:tcW w:type="dxa" w:w="4320"/>
            <w:vAlign w:val="top"/>
          </w:tcPr>
          <w:p>
            <w:r>
              <w:rPr>
                <w:sz w:val="15"/>
              </w:rPr>
              <w:t>Typed aggregate visit counter.</w:t>
            </w:r>
          </w:p>
        </w:tc>
      </w:tr>
      <w:tr>
        <w:tc>
          <w:tcPr>
            <w:tcW w:type="dxa" w:w="3312"/>
            <w:vAlign w:val="top"/>
          </w:tcPr>
          <w:p>
            <w:r>
              <w:rPr>
                <w:sz w:val="15"/>
              </w:rPr>
              <w:t>visitedRetailers</w:t>
            </w:r>
          </w:p>
        </w:tc>
        <w:tc>
          <w:tcPr>
            <w:tcW w:type="dxa" w:w="3168"/>
            <w:vAlign w:val="top"/>
          </w:tcPr>
          <w:p>
            <w:r>
              <w:rPr>
                <w:sz w:val="15"/>
              </w:rPr>
              <w:t>State Head Dashboard Data tab</w:t>
            </w:r>
          </w:p>
        </w:tc>
        <w:tc>
          <w:tcPr>
            <w:tcW w:type="dxa" w:w="4320"/>
            <w:vAlign w:val="top"/>
          </w:tcPr>
          <w:p>
            <w:r>
              <w:rPr>
                <w:sz w:val="15"/>
              </w:rPr>
              <w:t>Unique/typed visited-retailer count.</w:t>
            </w:r>
          </w:p>
        </w:tc>
      </w:tr>
      <w:tr>
        <w:tc>
          <w:tcPr>
            <w:tcW w:type="dxa" w:w="3312"/>
            <w:vAlign w:val="top"/>
          </w:tcPr>
          <w:p>
            <w:r>
              <w:rPr>
                <w:sz w:val="15"/>
              </w:rPr>
              <w:t>nonVisitedRetailers</w:t>
            </w:r>
          </w:p>
        </w:tc>
        <w:tc>
          <w:tcPr>
            <w:tcW w:type="dxa" w:w="3168"/>
            <w:vAlign w:val="top"/>
          </w:tcPr>
          <w:p>
            <w:r>
              <w:rPr>
                <w:sz w:val="15"/>
              </w:rPr>
              <w:t>Dashboard or derived</w:t>
            </w:r>
          </w:p>
        </w:tc>
        <w:tc>
          <w:tcPr>
            <w:tcW w:type="dxa" w:w="4320"/>
            <w:vAlign w:val="top"/>
          </w:tcPr>
          <w:p>
            <w:r>
              <w:rPr>
                <w:sz w:val="15"/>
              </w:rPr>
              <w:t>totalRetailers − visitedRetailers only when operands are valid; otherwise unavailable.</w:t>
            </w:r>
          </w:p>
        </w:tc>
      </w:tr>
      <w:tr>
        <w:tc>
          <w:tcPr>
            <w:tcW w:type="dxa" w:w="3312"/>
            <w:vAlign w:val="top"/>
          </w:tcPr>
          <w:p>
            <w:r>
              <w:rPr>
                <w:sz w:val="15"/>
              </w:rPr>
              <w:t>VisitPlan workingDaysActual</w:t>
            </w:r>
          </w:p>
        </w:tc>
        <w:tc>
          <w:tcPr>
            <w:tcW w:type="dxa" w:w="3168"/>
            <w:vAlign w:val="top"/>
          </w:tcPr>
          <w:p>
            <w:r>
              <w:rPr>
                <w:sz w:val="15"/>
              </w:rPr>
              <w:t>Dashboard Data AG</w:t>
            </w:r>
          </w:p>
        </w:tc>
        <w:tc>
          <w:tcPr>
            <w:tcW w:type="dxa" w:w="4320"/>
            <w:vAlign w:val="top"/>
          </w:tcPr>
          <w:p>
            <w:r>
              <w:rPr>
                <w:sz w:val="15"/>
              </w:rPr>
              <w:t>Member-recorded denominator; calendar Mon–Sat is fallback.</w:t>
            </w:r>
          </w:p>
        </w:tc>
      </w:tr>
      <w:tr>
        <w:tc>
          <w:tcPr>
            <w:tcW w:type="dxa" w:w="3312"/>
            <w:vAlign w:val="top"/>
          </w:tcPr>
          <w:p>
            <w:r>
              <w:rPr>
                <w:sz w:val="15"/>
              </w:rPr>
              <w:t>Retailer Visits / totalVisit</w:t>
            </w:r>
          </w:p>
        </w:tc>
        <w:tc>
          <w:tcPr>
            <w:tcW w:type="dxa" w:w="3168"/>
            <w:vAlign w:val="top"/>
          </w:tcPr>
          <w:p>
            <w:r>
              <w:rPr>
                <w:sz w:val="15"/>
              </w:rPr>
              <w:t>Member working sheet / Visit Report</w:t>
            </w:r>
          </w:p>
        </w:tc>
        <w:tc>
          <w:tcPr>
            <w:tcW w:type="dxa" w:w="4320"/>
            <w:vAlign w:val="top"/>
          </w:tcPr>
          <w:p>
            <w:r>
              <w:rPr>
                <w:sz w:val="15"/>
              </w:rPr>
              <w:t>AB or detected equivalent.</w:t>
            </w:r>
          </w:p>
        </w:tc>
      </w:tr>
      <w:tr>
        <w:tc>
          <w:tcPr>
            <w:tcW w:type="dxa" w:w="3312"/>
            <w:vAlign w:val="top"/>
          </w:tcPr>
          <w:p>
            <w:r>
              <w:rPr>
                <w:sz w:val="15"/>
              </w:rPr>
              <w:t>Retailer visitsRequired</w:t>
            </w:r>
          </w:p>
        </w:tc>
        <w:tc>
          <w:tcPr>
            <w:tcW w:type="dxa" w:w="3168"/>
            <w:vAlign w:val="top"/>
          </w:tcPr>
          <w:p>
            <w:r>
              <w:rPr>
                <w:sz w:val="15"/>
              </w:rPr>
              <w:t>Member working sheet / Visit Report</w:t>
            </w:r>
          </w:p>
        </w:tc>
        <w:tc>
          <w:tcPr>
            <w:tcW w:type="dxa" w:w="4320"/>
            <w:vAlign w:val="top"/>
          </w:tcPr>
          <w:p>
            <w:r>
              <w:rPr>
                <w:sz w:val="15"/>
              </w:rPr>
              <w:t>X or detected equivalent.</w:t>
            </w:r>
          </w:p>
        </w:tc>
      </w:tr>
      <w:tr>
        <w:tc>
          <w:tcPr>
            <w:tcW w:type="dxa" w:w="3312"/>
            <w:vAlign w:val="top"/>
          </w:tcPr>
          <w:p>
            <w:r>
              <w:rPr>
                <w:sz w:val="15"/>
              </w:rPr>
              <w:t>VisitPlan totalVisitsDone</w:t>
            </w:r>
          </w:p>
        </w:tc>
        <w:tc>
          <w:tcPr>
            <w:tcW w:type="dxa" w:w="3168"/>
            <w:vAlign w:val="top"/>
          </w:tcPr>
          <w:p>
            <w:r>
              <w:rPr>
                <w:sz w:val="15"/>
              </w:rPr>
              <w:t>Member working sheet</w:t>
            </w:r>
          </w:p>
        </w:tc>
        <w:tc>
          <w:tcPr>
            <w:tcW w:type="dxa" w:w="4320"/>
            <w:vAlign w:val="top"/>
          </w:tcPr>
          <w:p>
            <w:r>
              <w:rPr>
                <w:sz w:val="15"/>
              </w:rPr>
              <w:t>Sum of retailer totalVisit.</w:t>
            </w:r>
          </w:p>
        </w:tc>
      </w:tr>
      <w:tr>
        <w:tc>
          <w:tcPr>
            <w:tcW w:type="dxa" w:w="3312"/>
            <w:vAlign w:val="top"/>
          </w:tcPr>
          <w:p>
            <w:r>
              <w:rPr>
                <w:sz w:val="15"/>
              </w:rPr>
              <w:t>VisitPlan totalVisitsRequired</w:t>
            </w:r>
          </w:p>
        </w:tc>
        <w:tc>
          <w:tcPr>
            <w:tcW w:type="dxa" w:w="3168"/>
            <w:vAlign w:val="top"/>
          </w:tcPr>
          <w:p>
            <w:r>
              <w:rPr>
                <w:sz w:val="15"/>
              </w:rPr>
              <w:t>Member working sheet</w:t>
            </w:r>
          </w:p>
        </w:tc>
        <w:tc>
          <w:tcPr>
            <w:tcW w:type="dxa" w:w="4320"/>
            <w:vAlign w:val="top"/>
          </w:tcPr>
          <w:p>
            <w:r>
              <w:rPr>
                <w:sz w:val="15"/>
              </w:rPr>
              <w:t>Sum of retailer visitsRequired.</w:t>
            </w:r>
          </w:p>
        </w:tc>
      </w:tr>
      <w:tr>
        <w:tc>
          <w:tcPr>
            <w:tcW w:type="dxa" w:w="3312"/>
            <w:vAlign w:val="top"/>
          </w:tcPr>
          <w:p>
            <w:r>
              <w:rPr>
                <w:sz w:val="15"/>
              </w:rPr>
              <w:t>Pro-rated requirement and deficit</w:t>
            </w:r>
          </w:p>
        </w:tc>
        <w:tc>
          <w:tcPr>
            <w:tcW w:type="dxa" w:w="3168"/>
            <w:vAlign w:val="top"/>
          </w:tcPr>
          <w:p>
            <w:r>
              <w:rPr>
                <w:sz w:val="15"/>
              </w:rPr>
              <w:t>Derived from member sheet</w:t>
            </w:r>
          </w:p>
        </w:tc>
        <w:tc>
          <w:tcPr>
            <w:tcW w:type="dxa" w:w="4320"/>
            <w:vAlign w:val="top"/>
          </w:tcPr>
          <w:p>
            <w:r>
              <w:rPr>
                <w:sz w:val="15"/>
              </w:rPr>
              <w:t>Uses elapsed FY fraction.</w:t>
            </w:r>
          </w:p>
        </w:tc>
      </w:tr>
      <w:tr>
        <w:tc>
          <w:tcPr>
            <w:tcW w:type="dxa" w:w="3312"/>
            <w:vAlign w:val="top"/>
          </w:tcPr>
          <w:p>
            <w:r>
              <w:rPr>
                <w:sz w:val="15"/>
              </w:rPr>
              <w:t>Historical visit capacity</w:t>
            </w:r>
          </w:p>
        </w:tc>
        <w:tc>
          <w:tcPr>
            <w:tcW w:type="dxa" w:w="3168"/>
            <w:vAlign w:val="top"/>
          </w:tcPr>
          <w:p>
            <w:r>
              <w:rPr>
                <w:sz w:val="15"/>
              </w:rPr>
              <w:t>Historical Summary Report tabs</w:t>
            </w:r>
          </w:p>
        </w:tc>
        <w:tc>
          <w:tcPr>
            <w:tcW w:type="dxa" w:w="4320"/>
            <w:vAlign w:val="top"/>
          </w:tcPr>
          <w:p>
            <w:r>
              <w:rPr>
                <w:sz w:val="15"/>
              </w:rPr>
              <w:t>Most recent closed FY actual total is anchor.</w:t>
            </w:r>
          </w:p>
        </w:tc>
      </w:tr>
      <w:tr>
        <w:tc>
          <w:tcPr>
            <w:tcW w:type="dxa" w:w="3312"/>
            <w:vAlign w:val="top"/>
          </w:tcPr>
          <w:p>
            <w:r>
              <w:rPr>
                <w:sz w:val="15"/>
              </w:rPr>
              <w:t>Demonstrated visits/day</w:t>
            </w:r>
          </w:p>
        </w:tc>
        <w:tc>
          <w:tcPr>
            <w:tcW w:type="dxa" w:w="3168"/>
            <w:vAlign w:val="top"/>
          </w:tcPr>
          <w:p>
            <w:r>
              <w:rPr>
                <w:sz w:val="15"/>
              </w:rPr>
              <w:t>Mixed</w:t>
            </w:r>
          </w:p>
        </w:tc>
        <w:tc>
          <w:tcPr>
            <w:tcW w:type="dxa" w:w="4320"/>
            <w:vAlign w:val="top"/>
          </w:tcPr>
          <w:p>
            <w:r>
              <w:rPr>
                <w:sz w:val="15"/>
              </w:rPr>
              <w:t>Member visits divided by Dashboard AG; calendar fallback.</w:t>
            </w:r>
          </w:p>
        </w:tc>
      </w:tr>
      <w:tr>
        <w:tc>
          <w:tcPr>
            <w:tcW w:type="dxa" w:w="3312"/>
            <w:vAlign w:val="top"/>
          </w:tcPr>
          <w:p>
            <w:r>
              <w:rPr>
                <w:sz w:val="15"/>
              </w:rPr>
              <w:t>Monthly capacities and target names</w:t>
            </w:r>
          </w:p>
        </w:tc>
        <w:tc>
          <w:tcPr>
            <w:tcW w:type="dxa" w:w="3168"/>
            <w:vAlign w:val="top"/>
          </w:tcPr>
          <w:p>
            <w:r>
              <w:rPr>
                <w:sz w:val="15"/>
              </w:rPr>
              <w:t>Derived</w:t>
            </w:r>
          </w:p>
        </w:tc>
        <w:tc>
          <w:tcPr>
            <w:tcW w:type="dxa" w:w="4320"/>
            <w:vAlign w:val="top"/>
          </w:tcPr>
          <w:p>
            <w:r>
              <w:rPr>
                <w:sz w:val="15"/>
              </w:rPr>
              <w:t>Member rows + historical capacity + working-day model.</w:t>
            </w:r>
          </w:p>
        </w:tc>
      </w:tr>
      <w:tr>
        <w:tc>
          <w:tcPr>
            <w:tcW w:type="dxa" w:w="3312"/>
            <w:vAlign w:val="top"/>
          </w:tcPr>
          <w:p>
            <w:r>
              <w:rPr>
                <w:sz w:val="15"/>
              </w:rPr>
              <w:t>AI payload visits.done / visits.required</w:t>
            </w:r>
          </w:p>
        </w:tc>
        <w:tc>
          <w:tcPr>
            <w:tcW w:type="dxa" w:w="3168"/>
            <w:vAlign w:val="top"/>
          </w:tcPr>
          <w:p>
            <w:r>
              <w:rPr>
                <w:sz w:val="15"/>
              </w:rPr>
              <w:t>Member-sheet-derived payload</w:t>
            </w:r>
          </w:p>
        </w:tc>
        <w:tc>
          <w:tcPr>
            <w:tcW w:type="dxa" w:w="4320"/>
            <w:vAlign w:val="top"/>
          </w:tcPr>
          <w:p>
            <w:r>
              <w:rPr>
                <w:sz w:val="15"/>
              </w:rPr>
              <w:t>Not Dashboard headline counters.</w:t>
            </w:r>
          </w:p>
        </w:tc>
      </w:tr>
      <w:tr>
        <w:tc>
          <w:tcPr>
            <w:tcW w:type="dxa" w:w="3312"/>
            <w:vAlign w:val="top"/>
          </w:tcPr>
          <w:p>
            <w:r>
              <w:rPr>
                <w:sz w:val="15"/>
              </w:rPr>
              <w:t>Organisation Coverage export Visited</w:t>
            </w:r>
          </w:p>
        </w:tc>
        <w:tc>
          <w:tcPr>
            <w:tcW w:type="dxa" w:w="3168"/>
            <w:vAlign w:val="top"/>
          </w:tcPr>
          <w:p>
            <w:r>
              <w:rPr>
                <w:sz w:val="15"/>
              </w:rPr>
              <w:t>Dashboard visitedRetailers</w:t>
            </w:r>
          </w:p>
        </w:tc>
        <w:tc>
          <w:tcPr>
            <w:tcW w:type="dxa" w:w="4320"/>
            <w:vAlign w:val="top"/>
          </w:tcPr>
          <w:p>
            <w:r>
              <w:rPr>
                <w:sz w:val="15"/>
              </w:rPr>
              <w:t>Unknown identities remain blank.</w:t>
            </w:r>
          </w:p>
        </w:tc>
      </w:tr>
      <w:tr>
        <w:tc>
          <w:tcPr>
            <w:tcW w:type="dxa" w:w="3312"/>
            <w:vAlign w:val="top"/>
          </w:tcPr>
          <w:p>
            <w:r>
              <w:rPr>
                <w:sz w:val="15"/>
              </w:rPr>
              <w:t>Organisation Coverage Not Visited</w:t>
            </w:r>
          </w:p>
        </w:tc>
        <w:tc>
          <w:tcPr>
            <w:tcW w:type="dxa" w:w="3168"/>
            <w:vAlign w:val="top"/>
          </w:tcPr>
          <w:p>
            <w:r>
              <w:rPr>
                <w:sz w:val="15"/>
              </w:rPr>
              <w:t>Derived from Dashboard totals</w:t>
            </w:r>
          </w:p>
        </w:tc>
        <w:tc>
          <w:tcPr>
            <w:tcW w:type="dxa" w:w="4320"/>
            <w:vAlign w:val="top"/>
          </w:tcPr>
          <w:p>
            <w:r>
              <w:rPr>
                <w:sz w:val="15"/>
              </w:rPr>
              <w:t>Only when figures are valid and consistent.</w:t>
            </w:r>
          </w:p>
        </w:tc>
      </w:tr>
      <w:tr>
        <w:tc>
          <w:tcPr>
            <w:tcW w:type="dxa" w:w="3312"/>
            <w:vAlign w:val="top"/>
          </w:tcPr>
          <w:p>
            <w:r>
              <w:rPr>
                <w:sz w:val="15"/>
              </w:rPr>
              <w:t>Deep Dive headline visits / working days</w:t>
            </w:r>
          </w:p>
        </w:tc>
        <w:tc>
          <w:tcPr>
            <w:tcW w:type="dxa" w:w="3168"/>
            <w:vAlign w:val="top"/>
          </w:tcPr>
          <w:p>
            <w:r>
              <w:rPr>
                <w:sz w:val="15"/>
              </w:rPr>
              <w:t>Resolved Dashboard payload</w:t>
            </w:r>
          </w:p>
        </w:tc>
        <w:tc>
          <w:tcPr>
            <w:tcW w:type="dxa" w:w="4320"/>
            <w:vAlign w:val="top"/>
          </w:tcPr>
          <w:p>
            <w:r>
              <w:rPr>
                <w:sz w:val="15"/>
              </w:rPr>
              <w:t>Typed aggregate source.</w:t>
            </w:r>
          </w:p>
        </w:tc>
      </w:tr>
      <w:tr>
        <w:tc>
          <w:tcPr>
            <w:tcW w:type="dxa" w:w="3312"/>
            <w:vAlign w:val="top"/>
          </w:tcPr>
          <w:p>
            <w:r>
              <w:rPr>
                <w:sz w:val="15"/>
              </w:rPr>
              <w:t>Deep Dive retailer detail / VisitPlan proof</w:t>
            </w:r>
          </w:p>
        </w:tc>
        <w:tc>
          <w:tcPr>
            <w:tcW w:type="dxa" w:w="3168"/>
            <w:vAlign w:val="top"/>
          </w:tcPr>
          <w:p>
            <w:r>
              <w:rPr>
                <w:sz w:val="15"/>
              </w:rPr>
              <w:t>Member sheet + derived plan</w:t>
            </w:r>
          </w:p>
        </w:tc>
        <w:tc>
          <w:tcPr>
            <w:tcW w:type="dxa" w:w="4320"/>
            <w:vAlign w:val="top"/>
          </w:tcPr>
          <w:p>
            <w:r>
              <w:rPr>
                <w:sz w:val="15"/>
              </w:rPr>
              <w:t>Row-level operational analytics.</w:t>
            </w:r>
          </w:p>
        </w:tc>
      </w:tr>
      <w:tr>
        <w:tc>
          <w:tcPr>
            <w:tcW w:type="dxa" w:w="3312"/>
            <w:vAlign w:val="top"/>
          </w:tcPr>
          <w:p>
            <w:r>
              <w:rPr>
                <w:sz w:val="15"/>
              </w:rPr>
              <w:t>HR/SFA Visited Parties and activity fields</w:t>
            </w:r>
          </w:p>
        </w:tc>
        <w:tc>
          <w:tcPr>
            <w:tcW w:type="dxa" w:w="3168"/>
            <w:vAlign w:val="top"/>
          </w:tcPr>
          <w:p>
            <w:r>
              <w:rPr>
                <w:sz w:val="15"/>
              </w:rPr>
              <w:t>HR/SFA Dashboard</w:t>
            </w:r>
          </w:p>
        </w:tc>
        <w:tc>
          <w:tcPr>
            <w:tcW w:type="dxa" w:w="4320"/>
            <w:vAlign w:val="top"/>
          </w:tcPr>
          <w:p>
            <w:r>
              <w:rPr>
                <w:sz w:val="15"/>
              </w:rPr>
              <w:t>Only for explicitly labelled HR/SFA figures.</w:t>
            </w:r>
          </w:p>
        </w:tc>
      </w:tr>
      <w:tr>
        <w:tc>
          <w:tcPr>
            <w:tcW w:type="dxa" w:w="3312"/>
            <w:vAlign w:val="top"/>
          </w:tcPr>
          <w:p>
            <w:r>
              <w:rPr>
                <w:sz w:val="15"/>
              </w:rPr>
              <w:t>Market Survey visit frequency</w:t>
            </w:r>
          </w:p>
        </w:tc>
        <w:tc>
          <w:tcPr>
            <w:tcW w:type="dxa" w:w="3168"/>
            <w:vAlign w:val="top"/>
          </w:tcPr>
          <w:p>
            <w:r>
              <w:rPr>
                <w:sz w:val="15"/>
              </w:rPr>
              <w:t>Market Survey response</w:t>
            </w:r>
          </w:p>
        </w:tc>
        <w:tc>
          <w:tcPr>
            <w:tcW w:type="dxa" w:w="4320"/>
            <w:vAlign w:val="top"/>
          </w:tcPr>
          <w:p>
            <w:r>
              <w:rPr>
                <w:sz w:val="15"/>
              </w:rPr>
              <w:t>Unrelated to field-force execution.</w:t>
            </w:r>
          </w:p>
        </w:tc>
      </w:tr>
    </w:tbl>
    <w:p>
      <w:pPr>
        <w:spacing w:after="40"/>
      </w:pPr>
    </w:p>
    <w:p>
      <w:r>
        <w:rPr>
          <w:b/>
        </w:rPr>
        <w:t xml:space="preserve">P41 conclusion: </w:t>
      </w:r>
      <w:r>
        <w:t>There is no single visit authority. Dashboard Data owns aggregate headline visits, visited-retailer coverage and working days. Member sheets own retailer-level visits, required visits and VisitPlan analytics. HR/SFA owns only its separately labelled field-activity counters.</w:t>
      </w:r>
    </w:p>
    <w:p>
      <w:pPr>
        <w:pStyle w:val="Heading1"/>
      </w:pPr>
      <w:r>
        <w:t>5. Material interpretation cautions</w:t>
      </w:r>
    </w:p>
    <w:p>
      <w:pPr>
        <w:pStyle w:val="ListBullet"/>
        <w:spacing w:after="20"/>
      </w:pPr>
      <w:r>
        <w:t>Missing retailer visit values are commonly coerced to zero in VisitPlan sums, so unavailable and no recorded visit can converge in calculated totals.</w:t>
      </w:r>
    </w:p>
    <w:p>
      <w:pPr>
        <w:pStyle w:val="ListBullet"/>
        <w:spacing w:after="20"/>
      </w:pPr>
      <w:r>
        <w:t>The current member loader may use fixed X/AB columns when headers are absent; historical loaders refuse this fallback.</w:t>
      </w:r>
    </w:p>
    <w:p>
      <w:pPr>
        <w:pStyle w:val="ListBullet"/>
        <w:spacing w:after="20"/>
      </w:pPr>
      <w:r>
        <w:t>Dashboard snapshots and member-sheet caches can have different freshness windows.</w:t>
      </w:r>
    </w:p>
    <w:p>
      <w:pPr>
        <w:pStyle w:val="ListBullet"/>
        <w:spacing w:after="20"/>
      </w:pPr>
      <w:r>
        <w:t>The UI intentionally preserves Dashboard-versus-sheet drift rather than silently selecting one source.</w:t>
      </w:r>
    </w:p>
    <w:p>
      <w:pPr>
        <w:pStyle w:val="ListBullet"/>
        <w:spacing w:after="20"/>
      </w:pPr>
      <w:r>
        <w:t>Any published figure labelled only “Visits” is ambiguous unless it also identifies aggregate visits, unique visited retailers, or retailer-row visits.</w:t>
      </w:r>
    </w:p>
    <w:p>
      <w:pPr>
        <w:pStyle w:val="Heading1"/>
      </w:pPr>
      <w:r>
        <w:t>6. Principal code references</w:t>
      </w:r>
    </w:p>
    <w:p>
      <w:pPr>
        <w:pStyle w:val="ListBullet"/>
        <w:spacing w:after="20"/>
      </w:pPr>
      <w:r>
        <w:t>artifacts/api-server/src/lib/mgmt/visitPlan.ts: 171–180, 190–246, 251–327, 330–530</w:t>
      </w:r>
    </w:p>
    <w:p>
      <w:pPr>
        <w:pStyle w:val="ListBullet"/>
        <w:spacing w:after="20"/>
      </w:pPr>
      <w:r>
        <w:t>artifacts/api-server/src/lib/mgmt/memberSheet.ts: 153–210, 259–297, 311–449, 475–570, 834–948</w:t>
      </w:r>
    </w:p>
    <w:p>
      <w:pPr>
        <w:pStyle w:val="ListBullet"/>
        <w:spacing w:after="20"/>
      </w:pPr>
      <w:r>
        <w:t>artifacts/api-server/src/lib/mgmt/deepDiveData.ts: 127–145, 343–382</w:t>
      </w:r>
    </w:p>
    <w:p>
      <w:pPr>
        <w:pStyle w:val="ListBullet"/>
        <w:spacing w:after="20"/>
      </w:pPr>
      <w:r>
        <w:t>artifacts/api-server/src/lib/mgmt/hrSfaDashboard.ts: 11–36, 76–153</w:t>
      </w:r>
    </w:p>
    <w:p>
      <w:pPr>
        <w:pStyle w:val="ListBullet"/>
        <w:spacing w:after="20"/>
      </w:pPr>
      <w:r>
        <w:t>artifacts/api-server/src/lib/mgmt/deepDiveExport.ts: 295–348, 622–665, 1153–1163, 1228–1266</w:t>
      </w:r>
    </w:p>
    <w:p>
      <w:pPr>
        <w:pStyle w:val="ListBullet"/>
        <w:spacing w:after="20"/>
      </w:pPr>
      <w:r>
        <w:t>artifacts/api-server/src/lib/mgmt/organisationCoverageExport.ts: 78–100, 226–242, 291–294</w:t>
      </w:r>
    </w:p>
    <w:p>
      <w:pPr>
        <w:pStyle w:val="ListBullet"/>
        <w:spacing w:after="20"/>
      </w:pPr>
      <w:r>
        <w:t>artifacts/api-server/src/routes/aiArtifacts.ts: 383–460</w:t>
      </w:r>
    </w:p>
    <w:p>
      <w:pPr>
        <w:pStyle w:val="ListBullet"/>
        <w:spacing w:after="20"/>
      </w:pPr>
      <w:r>
        <w:t>artifacts/api-server/src/routes/aiPayload.ts: 217–219</w:t>
      </w:r>
    </w:p>
    <w:p>
      <w:pPr>
        <w:pStyle w:val="ListBullet"/>
        <w:spacing w:after="20"/>
      </w:pPr>
      <w:r>
        <w:t>artifacts/prayag/src/components/dashboard/SalesDeepDive.tsx: 559–563, 631–632, 896, 978–986</w:t>
      </w:r>
    </w:p>
    <w:p>
      <w:pPr>
        <w:pStyle w:val="ListBullet"/>
        <w:spacing w:after="20"/>
      </w:pPr>
      <w:r>
        <w:t>lib/api-spec/openapi.yaml: 3782–3964</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Prayag Visit Planning and Source Authority Analysis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