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Calibri" w:hAnsi="Calibri"/>
          <w:b/>
          <w:color w:val="1F497D"/>
          <w:sz w:val="44"/>
        </w:rPr>
        <w:t>Prayag India — Sales Intelligence</w:t>
      </w:r>
    </w:p>
    <w:p>
      <w:pPr>
        <w:jc w:val="center"/>
      </w:pPr>
      <w:r>
        <w:rPr>
          <w:rFonts w:ascii="Calibri" w:hAnsi="Calibri"/>
          <w:color w:val="2E74B5"/>
          <w:sz w:val="28"/>
        </w:rPr>
        <w:t>Google Sheets Connection Status Report</w:t>
      </w:r>
    </w:p>
    <w:p>
      <w:pPr>
        <w:jc w:val="center"/>
      </w:pPr>
      <w:r>
        <w:rPr>
          <w:rFonts w:ascii="Calibri" w:hAnsi="Calibri"/>
          <w:color w:val="707070"/>
          <w:sz w:val="20"/>
        </w:rPr>
        <w:t>FY 2026-27  |  12 July 2026</w:t>
      </w:r>
    </w:p>
    <w:p/>
    <w:p/>
    <w:p>
      <w:pPr>
        <w:pStyle w:val="Heading1"/>
        <w:jc w:val="left"/>
      </w:pPr>
      <w:r>
        <w:rPr>
          <w:rFonts w:ascii="Calibri" w:hAnsi="Calibri"/>
          <w:color w:val="1F497D"/>
          <w:sz w:val="32"/>
        </w:rPr>
        <w:t>1. Connected Sources</w:t>
      </w:r>
    </w:p>
    <w:p>
      <w:r>
        <w:rPr>
          <w:rFonts w:ascii="Calibri" w:hAnsi="Calibri"/>
          <w:b w:val="0"/>
          <w:i/>
          <w:color w:val="606060"/>
          <w:sz w:val="20"/>
        </w:rPr>
        <w:t>All sheet IDs below are verified against the live app configuration. Every active data source matches the reference config exactly.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vAlign w:val="center"/>
            <w:shd w:fill="1F497D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3685"/>
            <w:vAlign w:val="center"/>
            <w:shd w:fill="1F497D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Sheet / File ID</w:t>
            </w:r>
          </w:p>
        </w:tc>
        <w:tc>
          <w:tcPr>
            <w:tcW w:type="dxa" w:w="2835"/>
            <w:vAlign w:val="center"/>
            <w:shd w:fill="1F497D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Config location</w:t>
            </w:r>
          </w:p>
        </w:tc>
        <w:tc>
          <w:tcPr>
            <w:tcW w:type="dxa" w:w="1247"/>
            <w:vAlign w:val="center"/>
            <w:shd w:fill="1F497D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551"/>
            <w:vAlign w:val="center"/>
            <w:shd w:fill="FFFFFF" w:val="clear"/>
          </w:tcPr>
          <w:p>
            <w:r>
              <w:rPr>
                <w:rFonts w:ascii="Calibri" w:hAnsi="Calibri"/>
                <w:b w:val="0"/>
                <w:sz w:val="18"/>
              </w:rPr>
              <w:t>Team Member Roster</w:t>
              <w:br/>
              <w:t>(Team Member Details.xlsx)</w:t>
            </w:r>
          </w:p>
        </w:tc>
        <w:tc>
          <w:tcPr>
            <w:tcW w:type="dxa" w:w="3685"/>
            <w:vAlign w:val="center"/>
            <w:shd w:fill="FFFFFF" w:val="clear"/>
          </w:tcPr>
          <w:p>
            <w:r>
              <w:rPr>
                <w:rFonts w:ascii="Calibri" w:hAnsi="Calibri"/>
                <w:b w:val="0"/>
                <w:sz w:val="18"/>
              </w:rPr>
              <w:t>1Nb8gRcdzY-iambAzwExTmeVY_ob6vnQ2</w:t>
            </w:r>
          </w:p>
        </w:tc>
        <w:tc>
          <w:tcPr>
            <w:tcW w:type="dxa" w:w="2835"/>
            <w:vAlign w:val="center"/>
            <w:shd w:fill="FFFFFF" w:val="clear"/>
          </w:tcPr>
          <w:p>
            <w:r>
              <w:rPr>
                <w:rFonts w:ascii="Calibri" w:hAnsi="Calibri"/>
                <w:b w:val="0"/>
                <w:sz w:val="18"/>
              </w:rPr>
              <w:t>mgmt_sources.json</w:t>
              <w:br/>
              <w:t>hr_roster.fileId</w:t>
            </w:r>
          </w:p>
        </w:tc>
        <w:tc>
          <w:tcPr>
            <w:tcW w:type="dxa" w:w="1247"/>
            <w:vAlign w:val="center"/>
            <w:shd w:fill="FFFFFF" w:val="clear"/>
          </w:tcPr>
          <w:p>
            <w:r>
              <w:rPr>
                <w:rFonts w:ascii="Calibri" w:hAnsi="Calibri"/>
                <w:b/>
                <w:color w:val="378635"/>
                <w:sz w:val="18"/>
              </w:rPr>
              <w:t>Connected</w:t>
            </w:r>
          </w:p>
        </w:tc>
      </w:tr>
      <w:tr>
        <w:tc>
          <w:tcPr>
            <w:tcW w:type="dxa" w:w="2551"/>
            <w:vAlign w:val="center"/>
            <w:shd w:fill="EBF3FB" w:val="clear"/>
          </w:tcPr>
          <w:p>
            <w:r>
              <w:rPr>
                <w:rFonts w:ascii="Calibri" w:hAnsi="Calibri"/>
                <w:b w:val="0"/>
                <w:sz w:val="18"/>
              </w:rPr>
              <w:t>Target Master</w:t>
              <w:br/>
              <w:t>(Prayag Target Master)</w:t>
            </w:r>
          </w:p>
        </w:tc>
        <w:tc>
          <w:tcPr>
            <w:tcW w:type="dxa" w:w="3685"/>
            <w:vAlign w:val="center"/>
            <w:shd w:fill="EBF3FB" w:val="clear"/>
          </w:tcPr>
          <w:p>
            <w:r>
              <w:rPr>
                <w:rFonts w:ascii="Calibri" w:hAnsi="Calibri"/>
                <w:b w:val="0"/>
                <w:sz w:val="18"/>
              </w:rPr>
              <w:t>1ZLok3_8AZHdfrUm4T2lJmonAjngQFz4TuNLkHtU3p2I</w:t>
            </w:r>
          </w:p>
        </w:tc>
        <w:tc>
          <w:tcPr>
            <w:tcW w:type="dxa" w:w="2835"/>
            <w:vAlign w:val="center"/>
            <w:shd w:fill="EBF3FB" w:val="clear"/>
          </w:tcPr>
          <w:p>
            <w:r>
              <w:rPr>
                <w:rFonts w:ascii="Calibri" w:hAnsi="Calibri"/>
                <w:b w:val="0"/>
                <w:sz w:val="18"/>
              </w:rPr>
              <w:t>mgmt_sources.json</w:t>
              <w:br/>
              <w:t>target_master.sheetId</w:t>
            </w:r>
          </w:p>
        </w:tc>
        <w:tc>
          <w:tcPr>
            <w:tcW w:type="dxa" w:w="1247"/>
            <w:vAlign w:val="center"/>
            <w:shd w:fill="EBF3FB" w:val="clear"/>
          </w:tcPr>
          <w:p>
            <w:r>
              <w:rPr>
                <w:rFonts w:ascii="Calibri" w:hAnsi="Calibri"/>
                <w:b/>
                <w:color w:val="378635"/>
                <w:sz w:val="18"/>
              </w:rPr>
              <w:t>Connected</w:t>
            </w:r>
          </w:p>
        </w:tc>
      </w:tr>
      <w:tr>
        <w:tc>
          <w:tcPr>
            <w:tcW w:type="dxa" w:w="2551"/>
            <w:vAlign w:val="center"/>
            <w:shd w:fill="FFFFFF" w:val="clear"/>
          </w:tcPr>
          <w:p>
            <w:r>
              <w:rPr>
                <w:rFonts w:ascii="Calibri" w:hAnsi="Calibri"/>
                <w:b w:val="0"/>
                <w:sz w:val="18"/>
              </w:rPr>
              <w:t>Rate List / Item &amp; Customer Master</w:t>
              <w:br/>
              <w:t>(FY26-27 SAP pipeline)</w:t>
            </w:r>
          </w:p>
        </w:tc>
        <w:tc>
          <w:tcPr>
            <w:tcW w:type="dxa" w:w="3685"/>
            <w:vAlign w:val="center"/>
            <w:shd w:fill="FFFFFF" w:val="clear"/>
          </w:tcPr>
          <w:p>
            <w:r>
              <w:rPr>
                <w:rFonts w:ascii="Calibri" w:hAnsi="Calibri"/>
                <w:b w:val="0"/>
                <w:sz w:val="18"/>
              </w:rPr>
              <w:t>1njO-srsS29qiE4t45-zr5njbB7R2Zb-oSnv2NL1ONY4</w:t>
            </w:r>
          </w:p>
        </w:tc>
        <w:tc>
          <w:tcPr>
            <w:tcW w:type="dxa" w:w="2835"/>
            <w:vAlign w:val="center"/>
            <w:shd w:fill="FFFFFF" w:val="clear"/>
          </w:tcPr>
          <w:p>
            <w:r>
              <w:rPr>
                <w:rFonts w:ascii="Calibri" w:hAnsi="Calibri"/>
                <w:b w:val="0"/>
                <w:sz w:val="18"/>
              </w:rPr>
              <w:t>sale2627.json</w:t>
              <w:br/>
              <w:t>rateList.spreadsheetId</w:t>
            </w:r>
          </w:p>
        </w:tc>
        <w:tc>
          <w:tcPr>
            <w:tcW w:type="dxa" w:w="1247"/>
            <w:vAlign w:val="center"/>
            <w:shd w:fill="FFFFFF" w:val="clear"/>
          </w:tcPr>
          <w:p>
            <w:r>
              <w:rPr>
                <w:rFonts w:ascii="Calibri" w:hAnsi="Calibri"/>
                <w:b/>
                <w:color w:val="378635"/>
                <w:sz w:val="18"/>
              </w:rPr>
              <w:t>Connected</w:t>
            </w:r>
          </w:p>
        </w:tc>
      </w:tr>
      <w:tr>
        <w:tc>
          <w:tcPr>
            <w:tcW w:type="dxa" w:w="2551"/>
            <w:vAlign w:val="center"/>
            <w:shd w:fill="EBF3FB" w:val="clear"/>
          </w:tcPr>
          <w:p>
            <w:r>
              <w:rPr>
                <w:rFonts w:ascii="Calibri" w:hAnsi="Calibri"/>
                <w:b w:val="0"/>
                <w:sz w:val="18"/>
              </w:rPr>
              <w:t>Product Group Index</w:t>
              <w:br/>
              <w:t>(INDEX tab)</w:t>
            </w:r>
          </w:p>
        </w:tc>
        <w:tc>
          <w:tcPr>
            <w:tcW w:type="dxa" w:w="3685"/>
            <w:vAlign w:val="center"/>
            <w:shd w:fill="EBF3FB" w:val="clear"/>
          </w:tcPr>
          <w:p>
            <w:r>
              <w:rPr>
                <w:rFonts w:ascii="Calibri" w:hAnsi="Calibri"/>
                <w:b w:val="0"/>
                <w:sz w:val="18"/>
              </w:rPr>
              <w:t>1g-4_lDCeXQfUmp-VQ_mEWXQJyLMJXUGmRwGgughYHFY</w:t>
            </w:r>
          </w:p>
        </w:tc>
        <w:tc>
          <w:tcPr>
            <w:tcW w:type="dxa" w:w="2835"/>
            <w:vAlign w:val="center"/>
            <w:shd w:fill="EBF3FB" w:val="clear"/>
          </w:tcPr>
          <w:p>
            <w:r>
              <w:rPr>
                <w:rFonts w:ascii="Calibri" w:hAnsi="Calibri"/>
                <w:b w:val="0"/>
                <w:sz w:val="18"/>
              </w:rPr>
              <w:t>mgmt_sources.json</w:t>
              <w:br/>
              <w:t>group_index.sheetId</w:t>
            </w:r>
          </w:p>
        </w:tc>
        <w:tc>
          <w:tcPr>
            <w:tcW w:type="dxa" w:w="1247"/>
            <w:vAlign w:val="center"/>
            <w:shd w:fill="EBF3FB" w:val="clear"/>
          </w:tcPr>
          <w:p>
            <w:r>
              <w:rPr>
                <w:rFonts w:ascii="Calibri" w:hAnsi="Calibri"/>
                <w:b/>
                <w:color w:val="378635"/>
                <w:sz w:val="18"/>
              </w:rPr>
              <w:t>Connected</w:t>
            </w:r>
          </w:p>
        </w:tc>
      </w:tr>
      <w:tr>
        <w:tc>
          <w:tcPr>
            <w:tcW w:type="dxa" w:w="2551"/>
            <w:vAlign w:val="center"/>
            <w:shd w:fill="FFFFFF" w:val="clear"/>
          </w:tcPr>
          <w:p>
            <w:r>
              <w:rPr>
                <w:rFonts w:ascii="Calibri" w:hAnsi="Calibri"/>
                <w:b w:val="0"/>
                <w:sz w:val="18"/>
              </w:rPr>
              <w:t>Order Book FY2026-27</w:t>
              <w:br/>
              <w:t>(Monthly tabs — main dashboard)</w:t>
            </w:r>
          </w:p>
        </w:tc>
        <w:tc>
          <w:tcPr>
            <w:tcW w:type="dxa" w:w="3685"/>
            <w:vAlign w:val="center"/>
            <w:shd w:fill="FFFFFF" w:val="clear"/>
          </w:tcPr>
          <w:p>
            <w:r>
              <w:rPr>
                <w:rFonts w:ascii="Calibri" w:hAnsi="Calibri"/>
                <w:b w:val="0"/>
                <w:sz w:val="18"/>
              </w:rPr>
              <w:t>1HFBAtvbAskejVkjuO8zHoEsE-pBAFij2ERMKFEvt64A</w:t>
            </w:r>
          </w:p>
        </w:tc>
        <w:tc>
          <w:tcPr>
            <w:tcW w:type="dxa" w:w="2835"/>
            <w:vAlign w:val="center"/>
            <w:shd w:fill="FFFFFF" w:val="clear"/>
          </w:tcPr>
          <w:p>
            <w:r>
              <w:rPr>
                <w:rFonts w:ascii="Calibri" w:hAnsi="Calibri"/>
                <w:b w:val="0"/>
                <w:sz w:val="18"/>
              </w:rPr>
              <w:t>src/lib/dashboard/sync.ts</w:t>
              <w:br/>
              <w:t>ORDER_BOOK_FY2627</w:t>
            </w:r>
          </w:p>
        </w:tc>
        <w:tc>
          <w:tcPr>
            <w:tcW w:type="dxa" w:w="1247"/>
            <w:vAlign w:val="center"/>
            <w:shd w:fill="FFFFFF" w:val="clear"/>
          </w:tcPr>
          <w:p>
            <w:r>
              <w:rPr>
                <w:rFonts w:ascii="Calibri" w:hAnsi="Calibri"/>
                <w:b/>
                <w:color w:val="378635"/>
                <w:sz w:val="18"/>
              </w:rPr>
              <w:t>Connected</w:t>
            </w:r>
          </w:p>
        </w:tc>
      </w:tr>
      <w:tr>
        <w:tc>
          <w:tcPr>
            <w:tcW w:type="dxa" w:w="2551"/>
            <w:vAlign w:val="center"/>
            <w:shd w:fill="EBF3FB" w:val="clear"/>
          </w:tcPr>
          <w:p>
            <w:r>
              <w:rPr>
                <w:rFonts w:ascii="Calibri" w:hAnsi="Calibri"/>
                <w:b w:val="0"/>
                <w:sz w:val="18"/>
              </w:rPr>
              <w:t>State Head Sale Register FY2026-27</w:t>
              <w:br/>
              <w:t>(Invoice-line register)</w:t>
            </w:r>
          </w:p>
        </w:tc>
        <w:tc>
          <w:tcPr>
            <w:tcW w:type="dxa" w:w="3685"/>
            <w:vAlign w:val="center"/>
            <w:shd w:fill="EBF3FB" w:val="clear"/>
          </w:tcPr>
          <w:p>
            <w:r>
              <w:rPr>
                <w:rFonts w:ascii="Calibri" w:hAnsi="Calibri"/>
                <w:b w:val="0"/>
                <w:sz w:val="18"/>
              </w:rPr>
              <w:t>1QIpcfgOVCFjcCmgU_DXKn8h7Bfa8rm2q2wB2HneTvKs</w:t>
            </w:r>
          </w:p>
        </w:tc>
        <w:tc>
          <w:tcPr>
            <w:tcW w:type="dxa" w:w="2835"/>
            <w:vAlign w:val="center"/>
            <w:shd w:fill="EBF3FB" w:val="clear"/>
          </w:tcPr>
          <w:p>
            <w:r>
              <w:rPr>
                <w:rFonts w:ascii="Calibri" w:hAnsi="Calibri"/>
                <w:b w:val="0"/>
                <w:sz w:val="18"/>
              </w:rPr>
              <w:t>config/register_sheets.json</w:t>
              <w:br/>
              <w:t>registers["2026-27"]</w:t>
            </w:r>
          </w:p>
        </w:tc>
        <w:tc>
          <w:tcPr>
            <w:tcW w:type="dxa" w:w="1247"/>
            <w:vAlign w:val="center"/>
            <w:shd w:fill="EBF3FB" w:val="clear"/>
          </w:tcPr>
          <w:p>
            <w:r>
              <w:rPr>
                <w:rFonts w:ascii="Calibri" w:hAnsi="Calibri"/>
                <w:b/>
                <w:color w:val="378635"/>
                <w:sz w:val="18"/>
              </w:rPr>
              <w:t>Connected</w:t>
            </w:r>
          </w:p>
        </w:tc>
      </w:tr>
      <w:tr>
        <w:tc>
          <w:tcPr>
            <w:tcW w:type="dxa" w:w="2551"/>
            <w:vAlign w:val="center"/>
            <w:shd w:fill="FFFFFF" w:val="clear"/>
          </w:tcPr>
          <w:p>
            <w:r>
              <w:rPr>
                <w:rFonts w:ascii="Calibri" w:hAnsi="Calibri"/>
                <w:b w:val="0"/>
                <w:sz w:val="18"/>
              </w:rPr>
              <w:t>STATE HEAD DASHBOARD FY2026-27</w:t>
              <w:br/>
              <w:t>(Roster fallback + SFA data)</w:t>
            </w:r>
          </w:p>
        </w:tc>
        <w:tc>
          <w:tcPr>
            <w:tcW w:type="dxa" w:w="3685"/>
            <w:vAlign w:val="center"/>
            <w:shd w:fill="FFFFFF" w:val="clear"/>
          </w:tcPr>
          <w:p>
            <w:r>
              <w:rPr>
                <w:rFonts w:ascii="Calibri" w:hAnsi="Calibri"/>
                <w:b w:val="0"/>
                <w:sz w:val="18"/>
              </w:rPr>
              <w:t>1E1jEY_yO8LmpqBDpcesS_fu2SBPEQ0eKO5xN29XyTEM</w:t>
            </w:r>
          </w:p>
        </w:tc>
        <w:tc>
          <w:tcPr>
            <w:tcW w:type="dxa" w:w="2835"/>
            <w:vAlign w:val="center"/>
            <w:shd w:fill="FFFFFF" w:val="clear"/>
          </w:tcPr>
          <w:p>
            <w:r>
              <w:rPr>
                <w:rFonts w:ascii="Calibri" w:hAnsi="Calibri"/>
                <w:b w:val="0"/>
                <w:sz w:val="18"/>
              </w:rPr>
              <w:t>mgmt_sources.json</w:t>
              <w:br/>
              <w:t>roster_fallback.sheetId</w:t>
              <w:br/>
              <w:t>+ sync.ts STATE_HEAD_DASHBOARD_FY2627</w:t>
            </w:r>
          </w:p>
        </w:tc>
        <w:tc>
          <w:tcPr>
            <w:tcW w:type="dxa" w:w="1247"/>
            <w:vAlign w:val="center"/>
            <w:shd w:fill="FFFFFF" w:val="clear"/>
          </w:tcPr>
          <w:p>
            <w:r>
              <w:rPr>
                <w:rFonts w:ascii="Calibri" w:hAnsi="Calibri"/>
                <w:b/>
                <w:color w:val="378635"/>
                <w:sz w:val="18"/>
              </w:rPr>
              <w:t>Connected</w:t>
            </w:r>
          </w:p>
        </w:tc>
      </w:tr>
      <w:tr>
        <w:tc>
          <w:tcPr>
            <w:tcW w:type="dxa" w:w="2551"/>
            <w:vAlign w:val="center"/>
            <w:shd w:fill="EBF3FB" w:val="clear"/>
          </w:tcPr>
          <w:p>
            <w:r>
              <w:rPr>
                <w:rFonts w:ascii="Calibri" w:hAnsi="Calibri"/>
                <w:b w:val="0"/>
                <w:sz w:val="18"/>
              </w:rPr>
              <w:t>Party O/S &amp; Payment FY2026-27</w:t>
              <w:br/>
              <w:t>(Collection data)</w:t>
            </w:r>
          </w:p>
        </w:tc>
        <w:tc>
          <w:tcPr>
            <w:tcW w:type="dxa" w:w="3685"/>
            <w:vAlign w:val="center"/>
            <w:shd w:fill="EBF3FB" w:val="clear"/>
          </w:tcPr>
          <w:p>
            <w:r>
              <w:rPr>
                <w:rFonts w:ascii="Calibri" w:hAnsi="Calibri"/>
                <w:b w:val="0"/>
                <w:sz w:val="18"/>
              </w:rPr>
              <w:t>1oHFpXqVDPRF3Vi3WV9MdNcxkHNjgytLPxXUQgM6o1ok</w:t>
            </w:r>
          </w:p>
        </w:tc>
        <w:tc>
          <w:tcPr>
            <w:tcW w:type="dxa" w:w="2835"/>
            <w:vAlign w:val="center"/>
            <w:shd w:fill="EBF3FB" w:val="clear"/>
          </w:tcPr>
          <w:p>
            <w:r>
              <w:rPr>
                <w:rFonts w:ascii="Calibri" w:hAnsi="Calibri"/>
                <w:b w:val="0"/>
                <w:sz w:val="18"/>
              </w:rPr>
              <w:t>mgmt_sources.json</w:t>
              <w:br/>
              <w:t>party_os_payment["2026-27"]</w:t>
            </w:r>
          </w:p>
        </w:tc>
        <w:tc>
          <w:tcPr>
            <w:tcW w:type="dxa" w:w="1247"/>
            <w:vAlign w:val="center"/>
            <w:shd w:fill="EBF3FB" w:val="clear"/>
          </w:tcPr>
          <w:p>
            <w:r>
              <w:rPr>
                <w:rFonts w:ascii="Calibri" w:hAnsi="Calibri"/>
                <w:b/>
                <w:color w:val="378635"/>
                <w:sz w:val="18"/>
              </w:rPr>
              <w:t>Connected</w:t>
            </w:r>
          </w:p>
        </w:tc>
      </w:tr>
      <w:tr>
        <w:tc>
          <w:tcPr>
            <w:tcW w:type="dxa" w:w="2551"/>
            <w:vAlign w:val="center"/>
            <w:shd w:fill="FFFFFF" w:val="clear"/>
          </w:tcPr>
          <w:p>
            <w:r>
              <w:rPr>
                <w:rFonts w:ascii="Calibri" w:hAnsi="Calibri"/>
                <w:b w:val="0"/>
                <w:sz w:val="18"/>
              </w:rPr>
              <w:t>Retailer-Distributor Roster</w:t>
              <w:br/>
              <w:t>(Coverage data)</w:t>
            </w:r>
          </w:p>
        </w:tc>
        <w:tc>
          <w:tcPr>
            <w:tcW w:type="dxa" w:w="3685"/>
            <w:vAlign w:val="center"/>
            <w:shd w:fill="FFFFFF" w:val="clear"/>
          </w:tcPr>
          <w:p>
            <w:r>
              <w:rPr>
                <w:rFonts w:ascii="Calibri" w:hAnsi="Calibri"/>
                <w:b w:val="0"/>
                <w:sz w:val="18"/>
              </w:rPr>
              <w:t>1EbWoXm-LC9L_nsh4JUzMU7v0H6Q3Lq8FEmKgFT9FXHc</w:t>
            </w:r>
          </w:p>
        </w:tc>
        <w:tc>
          <w:tcPr>
            <w:tcW w:type="dxa" w:w="2835"/>
            <w:vAlign w:val="center"/>
            <w:shd w:fill="FFFFFF" w:val="clear"/>
          </w:tcPr>
          <w:p>
            <w:r>
              <w:rPr>
                <w:rFonts w:ascii="Calibri" w:hAnsi="Calibri"/>
                <w:b w:val="0"/>
                <w:sz w:val="18"/>
              </w:rPr>
              <w:t>src/lib/dashboard/sync.ts</w:t>
              <w:br/>
              <w:t>RETAILER_DISTRIBUTOR_ROSTER</w:t>
            </w:r>
          </w:p>
        </w:tc>
        <w:tc>
          <w:tcPr>
            <w:tcW w:type="dxa" w:w="1247"/>
            <w:vAlign w:val="center"/>
            <w:shd w:fill="FFFFFF" w:val="clear"/>
          </w:tcPr>
          <w:p>
            <w:r>
              <w:rPr>
                <w:rFonts w:ascii="Calibri" w:hAnsi="Calibri"/>
                <w:b/>
                <w:color w:val="378635"/>
                <w:sz w:val="18"/>
              </w:rPr>
              <w:t>Connected</w:t>
            </w:r>
          </w:p>
        </w:tc>
      </w:tr>
      <w:tr>
        <w:tc>
          <w:tcPr>
            <w:tcW w:type="dxa" w:w="2551"/>
            <w:vAlign w:val="center"/>
            <w:shd w:fill="EBF3FB" w:val="clear"/>
          </w:tcPr>
          <w:p>
            <w:r>
              <w:rPr>
                <w:rFonts w:ascii="Calibri" w:hAnsi="Calibri"/>
                <w:b w:val="0"/>
                <w:sz w:val="18"/>
              </w:rPr>
              <w:t>Itemwise Sales FY2024-25</w:t>
              <w:br/>
              <w:t>(Historical sales)</w:t>
            </w:r>
          </w:p>
        </w:tc>
        <w:tc>
          <w:tcPr>
            <w:tcW w:type="dxa" w:w="3685"/>
            <w:vAlign w:val="center"/>
            <w:shd w:fill="EBF3FB" w:val="clear"/>
          </w:tcPr>
          <w:p>
            <w:r>
              <w:rPr>
                <w:rFonts w:ascii="Calibri" w:hAnsi="Calibri"/>
                <w:b w:val="0"/>
                <w:sz w:val="18"/>
              </w:rPr>
              <w:t>1HgWelwHy73Ybc-1fBQMXhKxo2ctJToxgZLDWwJPmqz8</w:t>
            </w:r>
          </w:p>
        </w:tc>
        <w:tc>
          <w:tcPr>
            <w:tcW w:type="dxa" w:w="2835"/>
            <w:vAlign w:val="center"/>
            <w:shd w:fill="EBF3FB" w:val="clear"/>
          </w:tcPr>
          <w:p>
            <w:r>
              <w:rPr>
                <w:rFonts w:ascii="Calibri" w:hAnsi="Calibri"/>
                <w:b w:val="0"/>
                <w:sz w:val="18"/>
              </w:rPr>
              <w:t>src/lib/dashboard/sync.ts</w:t>
              <w:br/>
              <w:t>ITEMWISE_SALES_FY2425</w:t>
            </w:r>
          </w:p>
        </w:tc>
        <w:tc>
          <w:tcPr>
            <w:tcW w:type="dxa" w:w="1247"/>
            <w:vAlign w:val="center"/>
            <w:shd w:fill="EBF3FB" w:val="clear"/>
          </w:tcPr>
          <w:p>
            <w:r>
              <w:rPr>
                <w:rFonts w:ascii="Calibri" w:hAnsi="Calibri"/>
                <w:b/>
                <w:color w:val="378635"/>
                <w:sz w:val="18"/>
              </w:rPr>
              <w:t>Connected</w:t>
            </w:r>
          </w:p>
        </w:tc>
      </w:tr>
    </w:tbl>
    <w:p/>
    <w:p>
      <w:pPr>
        <w:pStyle w:val="Heading1"/>
        <w:jc w:val="left"/>
      </w:pPr>
      <w:r>
        <w:rPr>
          <w:rFonts w:ascii="Calibri" w:hAnsi="Calibri"/>
          <w:color w:val="1F497D"/>
          <w:sz w:val="32"/>
        </w:rPr>
        <w:t>2. Drive Folder Connections</w:t>
      </w:r>
    </w:p>
    <w:p>
      <w:r>
        <w:rPr>
          <w:rFonts w:ascii="Calibri" w:hAnsi="Calibri"/>
          <w:b w:val="0"/>
          <w:i/>
          <w:color w:val="606060"/>
          <w:sz w:val="20"/>
        </w:rPr>
        <w:t>These folders are scanned at runtime — individual file IDs within them do not need to be registered separately.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vAlign w:val="center"/>
            <w:shd w:fill="1F497D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Folder</w:t>
            </w:r>
          </w:p>
        </w:tc>
        <w:tc>
          <w:tcPr>
            <w:tcW w:type="dxa" w:w="3118"/>
            <w:vAlign w:val="center"/>
            <w:shd w:fill="1F497D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Drive Folder ID</w:t>
            </w:r>
          </w:p>
        </w:tc>
        <w:tc>
          <w:tcPr>
            <w:tcW w:type="dxa" w:w="3402"/>
            <w:vAlign w:val="center"/>
            <w:shd w:fill="1F497D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Used for</w:t>
            </w:r>
          </w:p>
        </w:tc>
        <w:tc>
          <w:tcPr>
            <w:tcW w:type="dxa" w:w="1247"/>
            <w:vAlign w:val="center"/>
            <w:shd w:fill="1F497D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268"/>
            <w:vAlign w:val="center"/>
            <w:shd w:fill="FFFFFF" w:val="clear"/>
          </w:tcPr>
          <w:p>
            <w:r>
              <w:rPr>
                <w:rFonts w:ascii="Calibri" w:hAnsi="Calibri"/>
                <w:sz w:val="18"/>
              </w:rPr>
              <w:t>Secondary Order Booking</w:t>
            </w:r>
          </w:p>
        </w:tc>
        <w:tc>
          <w:tcPr>
            <w:tcW w:type="dxa" w:w="3118"/>
            <w:vAlign w:val="center"/>
            <w:shd w:fill="FFFFFF" w:val="clear"/>
          </w:tcPr>
          <w:p>
            <w:r>
              <w:rPr>
                <w:rFonts w:ascii="Calibri" w:hAnsi="Calibri"/>
                <w:sz w:val="18"/>
              </w:rPr>
              <w:t>1Ww2B1FKjpshRTcOa_F7OUBiBsBzpVCPZ</w:t>
            </w:r>
          </w:p>
        </w:tc>
        <w:tc>
          <w:tcPr>
            <w:tcW w:type="dxa" w:w="3402"/>
            <w:vAlign w:val="center"/>
            <w:shd w:fill="FFFFFF" w:val="clear"/>
          </w:tcPr>
          <w:p>
            <w:r>
              <w:rPr>
                <w:rFonts w:ascii="Calibri" w:hAnsi="Calibri"/>
                <w:sz w:val="18"/>
              </w:rPr>
              <w:t>Scanned to find per-FY secondary order booking files (FY22-23 → FY25-26 wired directly; FY26-27 via folder scan)</w:t>
            </w:r>
          </w:p>
        </w:tc>
        <w:tc>
          <w:tcPr>
            <w:tcW w:type="dxa" w:w="1247"/>
            <w:vAlign w:val="center"/>
            <w:shd w:fill="FFFFFF" w:val="clear"/>
          </w:tcPr>
          <w:p>
            <w:r>
              <w:rPr>
                <w:rFonts w:ascii="Calibri" w:hAnsi="Calibri"/>
                <w:b/>
                <w:color w:val="378635"/>
                <w:sz w:val="18"/>
              </w:rPr>
              <w:t>Connected</w:t>
            </w:r>
          </w:p>
        </w:tc>
      </w:tr>
      <w:tr>
        <w:tc>
          <w:tcPr>
            <w:tcW w:type="dxa" w:w="2268"/>
            <w:vAlign w:val="center"/>
            <w:shd w:fill="EBF3FB" w:val="clear"/>
          </w:tcPr>
          <w:p>
            <w:r>
              <w:rPr>
                <w:rFonts w:ascii="Calibri" w:hAnsi="Calibri"/>
                <w:sz w:val="18"/>
              </w:rPr>
              <w:t>State Head Workbooks</w:t>
            </w:r>
          </w:p>
        </w:tc>
        <w:tc>
          <w:tcPr>
            <w:tcW w:type="dxa" w:w="3118"/>
            <w:vAlign w:val="center"/>
            <w:shd w:fill="EBF3FB" w:val="clear"/>
          </w:tcPr>
          <w:p>
            <w:r>
              <w:rPr>
                <w:rFonts w:ascii="Calibri" w:hAnsi="Calibri"/>
                <w:sz w:val="18"/>
              </w:rPr>
              <w:t>1xjBSMrF43omlScNQTavwunSt2oQbtGrq</w:t>
            </w:r>
          </w:p>
        </w:tc>
        <w:tc>
          <w:tcPr>
            <w:tcW w:type="dxa" w:w="3402"/>
            <w:vAlign w:val="center"/>
            <w:shd w:fill="EBF3FB" w:val="clear"/>
          </w:tcPr>
          <w:p>
            <w:r>
              <w:rPr>
                <w:rFonts w:ascii="Calibri" w:hAnsi="Calibri"/>
                <w:sz w:val="18"/>
              </w:rPr>
              <w:t>Per-head dispatched-sale register workbooks (one file per head per FY, e.g. "Anant Singh JI 2026-27")</w:t>
            </w:r>
          </w:p>
        </w:tc>
        <w:tc>
          <w:tcPr>
            <w:tcW w:type="dxa" w:w="1247"/>
            <w:vAlign w:val="center"/>
            <w:shd w:fill="EBF3FB" w:val="clear"/>
          </w:tcPr>
          <w:p>
            <w:r>
              <w:rPr>
                <w:rFonts w:ascii="Calibri" w:hAnsi="Calibri"/>
                <w:b/>
                <w:color w:val="378635"/>
                <w:sz w:val="18"/>
              </w:rPr>
              <w:t>Connected</w:t>
            </w:r>
          </w:p>
        </w:tc>
      </w:tr>
      <w:tr>
        <w:tc>
          <w:tcPr>
            <w:tcW w:type="dxa" w:w="2268"/>
            <w:vAlign w:val="center"/>
            <w:shd w:fill="FFFFFF" w:val="clear"/>
          </w:tcPr>
          <w:p>
            <w:r>
              <w:rPr>
                <w:rFonts w:ascii="Calibri" w:hAnsi="Calibri"/>
                <w:sz w:val="18"/>
              </w:rPr>
              <w:t>Team Member Reports</w:t>
            </w:r>
          </w:p>
        </w:tc>
        <w:tc>
          <w:tcPr>
            <w:tcW w:type="dxa" w:w="3118"/>
            <w:vAlign w:val="center"/>
            <w:shd w:fill="FFFFFF" w:val="clear"/>
          </w:tcPr>
          <w:p>
            <w:r>
              <w:rPr>
                <w:rFonts w:ascii="Calibri" w:hAnsi="Calibri"/>
                <w:sz w:val="18"/>
              </w:rPr>
              <w:t>1-guQptN9S4NrW024jGizKo0V4nFDtHMv</w:t>
            </w:r>
          </w:p>
        </w:tc>
        <w:tc>
          <w:tcPr>
            <w:tcW w:type="dxa" w:w="3402"/>
            <w:vAlign w:val="center"/>
            <w:shd w:fill="FFFFFF" w:val="clear"/>
          </w:tcPr>
          <w:p>
            <w:r>
              <w:rPr>
                <w:rFonts w:ascii="Calibri" w:hAnsi="Calibri"/>
                <w:sz w:val="18"/>
              </w:rPr>
              <w:t>Party → Team Member bridge (Distributor Visit Reports, Retailer Reports per member)</w:t>
            </w:r>
          </w:p>
        </w:tc>
        <w:tc>
          <w:tcPr>
            <w:tcW w:type="dxa" w:w="1247"/>
            <w:vAlign w:val="center"/>
            <w:shd w:fill="FFFFFF" w:val="clear"/>
          </w:tcPr>
          <w:p>
            <w:r>
              <w:rPr>
                <w:rFonts w:ascii="Calibri" w:hAnsi="Calibri"/>
                <w:b/>
                <w:color w:val="378635"/>
                <w:sz w:val="18"/>
              </w:rPr>
              <w:t>Connected</w:t>
            </w:r>
          </w:p>
        </w:tc>
      </w:tr>
    </w:tbl>
    <w:p/>
    <w:p>
      <w:pPr>
        <w:pStyle w:val="Heading1"/>
        <w:jc w:val="left"/>
      </w:pPr>
      <w:r>
        <w:rPr>
          <w:rFonts w:ascii="Calibri" w:hAnsi="Calibri"/>
          <w:color w:val="1F497D"/>
          <w:sz w:val="32"/>
        </w:rPr>
        <w:t>3. Pending Sources (null in FY2026-27)</w:t>
      </w:r>
    </w:p>
    <w:p>
      <w:r>
        <w:rPr>
          <w:rFonts w:ascii="Calibri" w:hAnsi="Calibri"/>
          <w:b w:val="0"/>
          <w:i/>
          <w:color w:val="606060"/>
          <w:sz w:val="20"/>
        </w:rPr>
        <w:t>These two sources are explicitly null for FY2026-27. The app handles this gracefully — columns that depend on them show a "pending" note rather than an error.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vAlign w:val="center"/>
            <w:shd w:fill="1F497D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551"/>
            <w:vAlign w:val="center"/>
            <w:shd w:fill="1F497D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3969"/>
            <w:vAlign w:val="center"/>
            <w:shd w:fill="1F497D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Impact when null</w:t>
            </w:r>
          </w:p>
        </w:tc>
        <w:tc>
          <w:tcPr>
            <w:tcW w:type="dxa" w:w="1247"/>
            <w:vAlign w:val="center"/>
            <w:shd w:fill="1F497D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268"/>
            <w:vAlign w:val="center"/>
            <w:shd w:fill="FFF2CC" w:val="clear"/>
          </w:tcPr>
          <w:p>
            <w:r>
              <w:rPr>
                <w:rFonts w:ascii="Calibri" w:hAnsi="Calibri"/>
                <w:sz w:val="18"/>
              </w:rPr>
              <w:t>Secondary Order Booking File</w:t>
              <w:br/>
              <w:t>(per-member order data for FY26-27)</w:t>
            </w:r>
          </w:p>
        </w:tc>
        <w:tc>
          <w:tcPr>
            <w:tcW w:type="dxa" w:w="2551"/>
            <w:vAlign w:val="center"/>
            <w:shd w:fill="FFF2CC" w:val="clear"/>
          </w:tcPr>
          <w:p>
            <w:r>
              <w:rPr>
                <w:rFonts w:ascii="Calibri" w:hAnsi="Calibri"/>
                <w:sz w:val="18"/>
              </w:rPr>
              <w:t>secondary_order_booking_26_27: null</w:t>
              <w:br/>
              <w:t>(folder scan finds no matching file)</w:t>
            </w:r>
          </w:p>
        </w:tc>
        <w:tc>
          <w:tcPr>
            <w:tcW w:type="dxa" w:w="3969"/>
            <w:vAlign w:val="center"/>
            <w:shd w:fill="FFF2CC" w:val="clear"/>
          </w:tcPr>
          <w:p>
            <w:r>
              <w:rPr>
                <w:rFonts w:ascii="Calibri" w:hAnsi="Calibri"/>
                <w:sz w:val="18"/>
              </w:rPr>
              <w:t>State Head Dashboard and Reports show "Order Booking pending". Achievement %, Band, and Low Performers columns stay blank. Main dashboard order book (Order Book FY2627 sheet) is unaffected.</w:t>
            </w:r>
          </w:p>
        </w:tc>
        <w:tc>
          <w:tcPr>
            <w:tcW w:type="dxa" w:w="1247"/>
            <w:vAlign w:val="center"/>
            <w:shd w:fill="FFF2CC" w:val="clear"/>
          </w:tcPr>
          <w:p>
            <w:r>
              <w:rPr>
                <w:rFonts w:ascii="Calibri" w:hAnsi="Calibri"/>
                <w:b/>
                <w:color w:val="C55A11"/>
                <w:sz w:val="18"/>
              </w:rPr>
              <w:t>Pending</w:t>
            </w:r>
          </w:p>
        </w:tc>
      </w:tr>
      <w:tr>
        <w:tc>
          <w:tcPr>
            <w:tcW w:type="dxa" w:w="2268"/>
            <w:vAlign w:val="center"/>
            <w:shd w:fill="FFF8E7" w:val="clear"/>
          </w:tcPr>
          <w:p>
            <w:r>
              <w:rPr>
                <w:rFonts w:ascii="Calibri" w:hAnsi="Calibri"/>
                <w:sz w:val="18"/>
              </w:rPr>
              <w:t>HR / SFA Dashboard FY26-27</w:t>
              <w:br/>
              <w:t>(field visits, GPS, working days)</w:t>
            </w:r>
          </w:p>
        </w:tc>
        <w:tc>
          <w:tcPr>
            <w:tcW w:type="dxa" w:w="2551"/>
            <w:vAlign w:val="center"/>
            <w:shd w:fill="FFF8E7" w:val="clear"/>
          </w:tcPr>
          <w:p>
            <w:r>
              <w:rPr>
                <w:rFonts w:ascii="Calibri" w:hAnsi="Calibri"/>
                <w:sz w:val="18"/>
              </w:rPr>
              <w:t>hr_sfa_dashboard_26_27: null</w:t>
            </w:r>
          </w:p>
        </w:tc>
        <w:tc>
          <w:tcPr>
            <w:tcW w:type="dxa" w:w="3969"/>
            <w:vAlign w:val="center"/>
            <w:shd w:fill="FFF8E7" w:val="clear"/>
          </w:tcPr>
          <w:p>
            <w:r>
              <w:rPr>
                <w:rFonts w:ascii="Calibri" w:hAnsi="Calibri"/>
                <w:sz w:val="18"/>
              </w:rPr>
              <w:t>Visits, Working Days, GPS kilometres, Cost Ratio columns stay blank in the State Head Dashboard and Management Reports.</w:t>
            </w:r>
          </w:p>
        </w:tc>
        <w:tc>
          <w:tcPr>
            <w:tcW w:type="dxa" w:w="1247"/>
            <w:vAlign w:val="center"/>
            <w:shd w:fill="FFF8E7" w:val="clear"/>
          </w:tcPr>
          <w:p>
            <w:r>
              <w:rPr>
                <w:rFonts w:ascii="Calibri" w:hAnsi="Calibri"/>
                <w:b/>
                <w:color w:val="C55A11"/>
                <w:sz w:val="18"/>
              </w:rPr>
              <w:t>Pending</w:t>
            </w:r>
          </w:p>
        </w:tc>
      </w:tr>
    </w:tbl>
    <w:p/>
    <w:p>
      <w:pPr>
        <w:pStyle w:val="Heading1"/>
        <w:jc w:val="left"/>
      </w:pPr>
      <w:r>
        <w:rPr>
          <w:rFonts w:ascii="Calibri" w:hAnsi="Calibri"/>
          <w:color w:val="1F497D"/>
          <w:sz w:val="32"/>
        </w:rPr>
        <w:t>4. Sheets in Reference Config — Not Currently Read by App</w:t>
      </w:r>
    </w:p>
    <w:p>
      <w:r>
        <w:rPr>
          <w:rFonts w:ascii="Calibri" w:hAnsi="Calibri"/>
          <w:b w:val="0"/>
          <w:i/>
          <w:color w:val="606060"/>
          <w:sz w:val="20"/>
        </w:rPr>
        <w:t>These sheets appear in the FY2026-27 reference config but are not wired to any code path. They appear to be output / summary / reporting sheets that the app writes to or that are used by external tools. No action required unless a data-loading use case is needed.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vAlign w:val="center"/>
            <w:shd w:fill="1F497D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Config field</w:t>
            </w:r>
          </w:p>
        </w:tc>
        <w:tc>
          <w:tcPr>
            <w:tcW w:type="dxa" w:w="3118"/>
            <w:vAlign w:val="center"/>
            <w:shd w:fill="1F497D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Sheet ID</w:t>
            </w:r>
          </w:p>
        </w:tc>
        <w:tc>
          <w:tcPr>
            <w:tcW w:type="dxa" w:w="3118"/>
            <w:vAlign w:val="center"/>
            <w:shd w:fill="1F497D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Likely purpose</w:t>
            </w:r>
          </w:p>
        </w:tc>
        <w:tc>
          <w:tcPr>
            <w:tcW w:type="dxa" w:w="1531"/>
            <w:vAlign w:val="center"/>
            <w:shd w:fill="1F497D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Action needed</w:t>
            </w:r>
          </w:p>
        </w:tc>
      </w:tr>
      <w:tr>
        <w:tc>
          <w:tcPr>
            <w:tcW w:type="dxa" w:w="2268"/>
            <w:vAlign w:val="center"/>
            <w:shd w:fill="FFFFFF" w:val="clear"/>
          </w:tcPr>
          <w:p>
            <w:r>
              <w:rPr>
                <w:rFonts w:ascii="Calibri" w:hAnsi="Calibri"/>
                <w:sz w:val="18"/>
              </w:rPr>
              <w:t>sale_sheet_26_27</w:t>
            </w:r>
          </w:p>
        </w:tc>
        <w:tc>
          <w:tcPr>
            <w:tcW w:type="dxa" w:w="3118"/>
            <w:vAlign w:val="center"/>
            <w:shd w:fill="FFFFFF" w:val="clear"/>
          </w:tcPr>
          <w:p>
            <w:r>
              <w:rPr>
                <w:rFonts w:ascii="Calibri" w:hAnsi="Calibri"/>
                <w:sz w:val="18"/>
              </w:rPr>
              <w:t>19LQGpkbZiecGaXdBvl48rPZT2LUz3sKekeKX5fHu7Ps</w:t>
            </w:r>
          </w:p>
        </w:tc>
        <w:tc>
          <w:tcPr>
            <w:tcW w:type="dxa" w:w="3118"/>
            <w:vAlign w:val="center"/>
            <w:shd w:fill="FFFFFF" w:val="clear"/>
          </w:tcPr>
          <w:p>
            <w:r>
              <w:rPr>
                <w:rFonts w:ascii="Calibri" w:hAnsi="Calibri"/>
                <w:sz w:val="18"/>
              </w:rPr>
              <w:t>Summary sale tracking sheet (output/reporting)</w:t>
            </w:r>
          </w:p>
        </w:tc>
        <w:tc>
          <w:tcPr>
            <w:tcW w:type="dxa" w:w="1531"/>
            <w:vAlign w:val="center"/>
            <w:shd w:fill="FFFFFF" w:val="clear"/>
          </w:tcPr>
          <w:p>
            <w:r>
              <w:rPr>
                <w:rFonts w:ascii="Calibri" w:hAnsi="Calibri"/>
                <w:i/>
                <w:color w:val="606060"/>
                <w:sz w:val="18"/>
              </w:rPr>
              <w:t>None — not read by app</w:t>
            </w:r>
          </w:p>
        </w:tc>
      </w:tr>
      <w:tr>
        <w:tc>
          <w:tcPr>
            <w:tcW w:type="dxa" w:w="2268"/>
            <w:vAlign w:val="center"/>
            <w:shd w:fill="F2F2F2" w:val="clear"/>
          </w:tcPr>
          <w:p>
            <w:r>
              <w:rPr>
                <w:rFonts w:ascii="Calibri" w:hAnsi="Calibri"/>
                <w:sz w:val="18"/>
              </w:rPr>
              <w:t>sale_26_27</w:t>
            </w:r>
          </w:p>
        </w:tc>
        <w:tc>
          <w:tcPr>
            <w:tcW w:type="dxa" w:w="3118"/>
            <w:vAlign w:val="center"/>
            <w:shd w:fill="F2F2F2" w:val="clear"/>
          </w:tcPr>
          <w:p>
            <w:r>
              <w:rPr>
                <w:rFonts w:ascii="Calibri" w:hAnsi="Calibri"/>
                <w:sz w:val="18"/>
              </w:rPr>
              <w:t>1rW9fvrdcmTy7Yd6RVV5dVpvZQ5knZMeKoMx8enZ6j24</w:t>
            </w:r>
          </w:p>
        </w:tc>
        <w:tc>
          <w:tcPr>
            <w:tcW w:type="dxa" w:w="3118"/>
            <w:vAlign w:val="center"/>
            <w:shd w:fill="F2F2F2" w:val="clear"/>
          </w:tcPr>
          <w:p>
            <w:r>
              <w:rPr>
                <w:rFonts w:ascii="Calibri" w:hAnsi="Calibri"/>
                <w:sz w:val="18"/>
              </w:rPr>
              <w:t>Possibly a second FY26-27 sale register. If it should be used as an additional data source, provide the tab format and it will be wired.</w:t>
            </w:r>
          </w:p>
        </w:tc>
        <w:tc>
          <w:tcPr>
            <w:tcW w:type="dxa" w:w="1531"/>
            <w:vAlign w:val="center"/>
            <w:shd w:fill="F2F2F2" w:val="clear"/>
          </w:tcPr>
          <w:p>
            <w:r>
              <w:rPr>
                <w:rFonts w:ascii="Calibri" w:hAnsi="Calibri"/>
                <w:i/>
                <w:color w:val="606060"/>
                <w:sz w:val="18"/>
              </w:rPr>
              <w:t>Clarify if needed</w:t>
            </w:r>
          </w:p>
        </w:tc>
      </w:tr>
      <w:tr>
        <w:tc>
          <w:tcPr>
            <w:tcW w:type="dxa" w:w="2268"/>
            <w:vAlign w:val="center"/>
            <w:shd w:fill="FFFFFF" w:val="clear"/>
          </w:tcPr>
          <w:p>
            <w:r>
              <w:rPr>
                <w:rFonts w:ascii="Calibri" w:hAnsi="Calibri"/>
                <w:sz w:val="18"/>
              </w:rPr>
              <w:t>state_head_sale_summary</w:t>
            </w:r>
          </w:p>
        </w:tc>
        <w:tc>
          <w:tcPr>
            <w:tcW w:type="dxa" w:w="3118"/>
            <w:vAlign w:val="center"/>
            <w:shd w:fill="FFFFFF" w:val="clear"/>
          </w:tcPr>
          <w:p>
            <w:r>
              <w:rPr>
                <w:rFonts w:ascii="Calibri" w:hAnsi="Calibri"/>
                <w:sz w:val="18"/>
              </w:rPr>
              <w:t>1qs2R4Nb1Za_BCPcWY6EzrC5ZsGtWJgRtZFJMFe4033w</w:t>
            </w:r>
          </w:p>
        </w:tc>
        <w:tc>
          <w:tcPr>
            <w:tcW w:type="dxa" w:w="3118"/>
            <w:vAlign w:val="center"/>
            <w:shd w:fill="FFFFFF" w:val="clear"/>
          </w:tcPr>
          <w:p>
            <w:r>
              <w:rPr>
                <w:rFonts w:ascii="Calibri" w:hAnsi="Calibri"/>
                <w:sz w:val="18"/>
              </w:rPr>
              <w:t>Aggregated state-head sale summary (output)</w:t>
            </w:r>
          </w:p>
        </w:tc>
        <w:tc>
          <w:tcPr>
            <w:tcW w:type="dxa" w:w="1531"/>
            <w:vAlign w:val="center"/>
            <w:shd w:fill="FFFFFF" w:val="clear"/>
          </w:tcPr>
          <w:p>
            <w:r>
              <w:rPr>
                <w:rFonts w:ascii="Calibri" w:hAnsi="Calibri"/>
                <w:i/>
                <w:color w:val="606060"/>
                <w:sz w:val="18"/>
              </w:rPr>
              <w:t>None — not read by app</w:t>
            </w:r>
          </w:p>
        </w:tc>
      </w:tr>
      <w:tr>
        <w:tc>
          <w:tcPr>
            <w:tcW w:type="dxa" w:w="2268"/>
            <w:vAlign w:val="center"/>
            <w:shd w:fill="F2F2F2" w:val="clear"/>
          </w:tcPr>
          <w:p>
            <w:r>
              <w:rPr>
                <w:rFonts w:ascii="Calibri" w:hAnsi="Calibri"/>
                <w:sz w:val="18"/>
              </w:rPr>
              <w:t>state_head_wise_sale</w:t>
            </w:r>
          </w:p>
        </w:tc>
        <w:tc>
          <w:tcPr>
            <w:tcW w:type="dxa" w:w="3118"/>
            <w:vAlign w:val="center"/>
            <w:shd w:fill="F2F2F2" w:val="clear"/>
          </w:tcPr>
          <w:p>
            <w:r>
              <w:rPr>
                <w:rFonts w:ascii="Calibri" w:hAnsi="Calibri"/>
                <w:sz w:val="18"/>
              </w:rPr>
              <w:t>14QYZN6JjWGZXM6dtkGs2uGC1STsN7lSS</w:t>
            </w:r>
          </w:p>
        </w:tc>
        <w:tc>
          <w:tcPr>
            <w:tcW w:type="dxa" w:w="3118"/>
            <w:vAlign w:val="center"/>
            <w:shd w:fill="F2F2F2" w:val="clear"/>
          </w:tcPr>
          <w:p>
            <w:r>
              <w:rPr>
                <w:rFonts w:ascii="Calibri" w:hAnsi="Calibri"/>
                <w:sz w:val="18"/>
              </w:rPr>
              <w:t>36-char ID (not a standard Sheets ID — may be a Drive file or alias)</w:t>
            </w:r>
          </w:p>
        </w:tc>
        <w:tc>
          <w:tcPr>
            <w:tcW w:type="dxa" w:w="1531"/>
            <w:vAlign w:val="center"/>
            <w:shd w:fill="F2F2F2" w:val="clear"/>
          </w:tcPr>
          <w:p>
            <w:r>
              <w:rPr>
                <w:rFonts w:ascii="Calibri" w:hAnsi="Calibri"/>
                <w:i/>
                <w:color w:val="606060"/>
                <w:sz w:val="18"/>
              </w:rPr>
              <w:t>None — ID format unclear</w:t>
            </w:r>
          </w:p>
        </w:tc>
      </w:tr>
      <w:tr>
        <w:tc>
          <w:tcPr>
            <w:tcW w:type="dxa" w:w="2268"/>
            <w:vAlign w:val="center"/>
            <w:shd w:fill="FFFFFF" w:val="clear"/>
          </w:tcPr>
          <w:p>
            <w:r>
              <w:rPr>
                <w:rFonts w:ascii="Calibri" w:hAnsi="Calibri"/>
                <w:sz w:val="18"/>
              </w:rPr>
              <w:t>sale_comparison_25_27</w:t>
            </w:r>
          </w:p>
        </w:tc>
        <w:tc>
          <w:tcPr>
            <w:tcW w:type="dxa" w:w="3118"/>
            <w:vAlign w:val="center"/>
            <w:shd w:fill="FFFFFF" w:val="clear"/>
          </w:tcPr>
          <w:p>
            <w:r>
              <w:rPr>
                <w:rFonts w:ascii="Calibri" w:hAnsi="Calibri"/>
                <w:sz w:val="18"/>
              </w:rPr>
              <w:t>16fFG3xkDt3rlGbiHKSIaj38hi7c3K8gHXm8G2dCTcvU</w:t>
            </w:r>
          </w:p>
        </w:tc>
        <w:tc>
          <w:tcPr>
            <w:tcW w:type="dxa" w:w="3118"/>
            <w:vAlign w:val="center"/>
            <w:shd w:fill="FFFFFF" w:val="clear"/>
          </w:tcPr>
          <w:p>
            <w:r>
              <w:rPr>
                <w:rFonts w:ascii="Calibri" w:hAnsi="Calibri"/>
                <w:sz w:val="18"/>
              </w:rPr>
              <w:t>Year-on-year comparison report (output)</w:t>
            </w:r>
          </w:p>
        </w:tc>
        <w:tc>
          <w:tcPr>
            <w:tcW w:type="dxa" w:w="1531"/>
            <w:vAlign w:val="center"/>
            <w:shd w:fill="FFFFFF" w:val="clear"/>
          </w:tcPr>
          <w:p>
            <w:r>
              <w:rPr>
                <w:rFonts w:ascii="Calibri" w:hAnsi="Calibri"/>
                <w:i/>
                <w:color w:val="606060"/>
                <w:sz w:val="18"/>
              </w:rPr>
              <w:t>None — not read by app</w:t>
            </w:r>
          </w:p>
        </w:tc>
      </w:tr>
      <w:tr>
        <w:tc>
          <w:tcPr>
            <w:tcW w:type="dxa" w:w="2268"/>
            <w:vAlign w:val="center"/>
            <w:shd w:fill="F2F2F2" w:val="clear"/>
          </w:tcPr>
          <w:p>
            <w:r>
              <w:rPr>
                <w:rFonts w:ascii="Calibri" w:hAnsi="Calibri"/>
                <w:sz w:val="18"/>
              </w:rPr>
              <w:t>state_head_workbooks_26_27</w:t>
              <w:br/>
              <w:t>(13 individual per-head IDs)</w:t>
            </w:r>
          </w:p>
        </w:tc>
        <w:tc>
          <w:tcPr>
            <w:tcW w:type="dxa" w:w="3118"/>
            <w:vAlign w:val="center"/>
            <w:shd w:fill="F2F2F2" w:val="clear"/>
          </w:tcPr>
          <w:p>
            <w:r>
              <w:rPr>
                <w:rFonts w:ascii="Calibri" w:hAnsi="Calibri"/>
                <w:sz w:val="18"/>
              </w:rPr>
              <w:t>(see below)</w:t>
            </w:r>
          </w:p>
        </w:tc>
        <w:tc>
          <w:tcPr>
            <w:tcW w:type="dxa" w:w="3118"/>
            <w:vAlign w:val="center"/>
            <w:shd w:fill="F2F2F2" w:val="clear"/>
          </w:tcPr>
          <w:p>
            <w:r>
              <w:rPr>
                <w:rFonts w:ascii="Calibri" w:hAnsi="Calibri"/>
                <w:sz w:val="18"/>
              </w:rPr>
              <w:t>Individual workbooks per state head. Already accessible via state_head_workbooks folder scan — no individual registration needed.</w:t>
            </w:r>
          </w:p>
        </w:tc>
        <w:tc>
          <w:tcPr>
            <w:tcW w:type="dxa" w:w="1531"/>
            <w:vAlign w:val="center"/>
            <w:shd w:fill="F2F2F2" w:val="clear"/>
          </w:tcPr>
          <w:p>
            <w:r>
              <w:rPr>
                <w:rFonts w:ascii="Calibri" w:hAnsi="Calibri"/>
                <w:i/>
                <w:color w:val="606060"/>
                <w:sz w:val="18"/>
              </w:rPr>
              <w:t>None — folder handles this</w:t>
            </w:r>
          </w:p>
        </w:tc>
      </w:tr>
    </w:tbl>
    <w:p/>
    <w:p>
      <w:pPr>
        <w:pStyle w:val="Heading1"/>
        <w:jc w:val="left"/>
      </w:pPr>
      <w:r>
        <w:rPr>
          <w:rFonts w:ascii="Calibri" w:hAnsi="Calibri"/>
          <w:color w:val="1F497D"/>
          <w:sz w:val="32"/>
        </w:rPr>
        <w:t>5. Per-Head Workbook IDs (FY2026-27)</w:t>
      </w:r>
    </w:p>
    <w:p>
      <w:r>
        <w:rPr>
          <w:rFonts w:ascii="Calibri" w:hAnsi="Calibri"/>
          <w:b w:val="0"/>
          <w:i/>
          <w:color w:val="606060"/>
          <w:sz w:val="20"/>
        </w:rPr>
        <w:t>These workbooks sit inside the State Head Workbooks Drive folder and are found automatically by folder scan. Listed here for reference only.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vAlign w:val="center"/>
            <w:shd w:fill="1F497D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State Head</w:t>
            </w:r>
          </w:p>
        </w:tc>
        <w:tc>
          <w:tcPr>
            <w:tcW w:type="dxa" w:w="6633"/>
            <w:vAlign w:val="center"/>
            <w:shd w:fill="1F497D" w:val="clear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Workbook Sheet ID</w:t>
            </w:r>
          </w:p>
        </w:tc>
      </w:tr>
      <w:tr>
        <w:tc>
          <w:tcPr>
            <w:tcW w:type="dxa" w:w="3402"/>
            <w:vAlign w:val="center"/>
            <w:shd w:fill="FFFFFF" w:val="clear"/>
          </w:tcPr>
          <w:p>
            <w:r>
              <w:rPr>
                <w:rFonts w:ascii="Calibri" w:hAnsi="Calibri"/>
                <w:sz w:val="18"/>
              </w:rPr>
              <w:t>Sandeep Dadheech</w:t>
            </w:r>
          </w:p>
        </w:tc>
        <w:tc>
          <w:tcPr>
            <w:tcW w:type="dxa" w:w="6633"/>
            <w:vAlign w:val="center"/>
            <w:shd w:fill="FFFFFF" w:val="clear"/>
          </w:tcPr>
          <w:p>
            <w:r>
              <w:rPr>
                <w:rFonts w:ascii="Calibri" w:hAnsi="Calibri"/>
                <w:sz w:val="18"/>
              </w:rPr>
              <w:t>18zT-a0a8d7rDIy2UpJGWyrWivFGKkBwdyRocPzgg8EA</w:t>
            </w:r>
          </w:p>
        </w:tc>
      </w:tr>
      <w:tr>
        <w:tc>
          <w:tcPr>
            <w:tcW w:type="dxa" w:w="3402"/>
            <w:vAlign w:val="center"/>
            <w:shd w:fill="EBF3FB" w:val="clear"/>
          </w:tcPr>
          <w:p>
            <w:r>
              <w:rPr>
                <w:rFonts w:ascii="Calibri" w:hAnsi="Calibri"/>
                <w:sz w:val="18"/>
              </w:rPr>
              <w:t>Syed Aqil Rizvi</w:t>
            </w:r>
          </w:p>
        </w:tc>
        <w:tc>
          <w:tcPr>
            <w:tcW w:type="dxa" w:w="6633"/>
            <w:vAlign w:val="center"/>
            <w:shd w:fill="EBF3FB" w:val="clear"/>
          </w:tcPr>
          <w:p>
            <w:r>
              <w:rPr>
                <w:rFonts w:ascii="Calibri" w:hAnsi="Calibri"/>
                <w:sz w:val="18"/>
              </w:rPr>
              <w:t>19mz3gsT70ai4T2YYT029gZBKfz-YewQjT14sI-wshzI</w:t>
            </w:r>
          </w:p>
        </w:tc>
      </w:tr>
      <w:tr>
        <w:tc>
          <w:tcPr>
            <w:tcW w:type="dxa" w:w="3402"/>
            <w:vAlign w:val="center"/>
            <w:shd w:fill="FFFFFF" w:val="clear"/>
          </w:tcPr>
          <w:p>
            <w:r>
              <w:rPr>
                <w:rFonts w:ascii="Calibri" w:hAnsi="Calibri"/>
                <w:sz w:val="18"/>
              </w:rPr>
              <w:t>Anant Singh</w:t>
            </w:r>
          </w:p>
        </w:tc>
        <w:tc>
          <w:tcPr>
            <w:tcW w:type="dxa" w:w="6633"/>
            <w:vAlign w:val="center"/>
            <w:shd w:fill="FFFFFF" w:val="clear"/>
          </w:tcPr>
          <w:p>
            <w:r>
              <w:rPr>
                <w:rFonts w:ascii="Calibri" w:hAnsi="Calibri"/>
                <w:sz w:val="18"/>
              </w:rPr>
              <w:t>1G3z_gOk5JR8yFmcVCadFCgpltjY1y0pI4ZBmGwrF2pU</w:t>
            </w:r>
          </w:p>
        </w:tc>
      </w:tr>
      <w:tr>
        <w:tc>
          <w:tcPr>
            <w:tcW w:type="dxa" w:w="3402"/>
            <w:vAlign w:val="center"/>
            <w:shd w:fill="EBF3FB" w:val="clear"/>
          </w:tcPr>
          <w:p>
            <w:r>
              <w:rPr>
                <w:rFonts w:ascii="Calibri" w:hAnsi="Calibri"/>
                <w:sz w:val="18"/>
              </w:rPr>
              <w:t>Biju C.O</w:t>
            </w:r>
          </w:p>
        </w:tc>
        <w:tc>
          <w:tcPr>
            <w:tcW w:type="dxa" w:w="6633"/>
            <w:vAlign w:val="center"/>
            <w:shd w:fill="EBF3FB" w:val="clear"/>
          </w:tcPr>
          <w:p>
            <w:r>
              <w:rPr>
                <w:rFonts w:ascii="Calibri" w:hAnsi="Calibri"/>
                <w:sz w:val="18"/>
              </w:rPr>
              <w:t>1bq6XgCIt6_-tBW3m3c_quqz1Hrbg1xVA-0X8Ve-E4H8</w:t>
            </w:r>
          </w:p>
        </w:tc>
      </w:tr>
      <w:tr>
        <w:tc>
          <w:tcPr>
            <w:tcW w:type="dxa" w:w="3402"/>
            <w:vAlign w:val="center"/>
            <w:shd w:fill="FFFFFF" w:val="clear"/>
          </w:tcPr>
          <w:p>
            <w:r>
              <w:rPr>
                <w:rFonts w:ascii="Calibri" w:hAnsi="Calibri"/>
                <w:sz w:val="18"/>
              </w:rPr>
              <w:t>Lalan Kumar</w:t>
            </w:r>
          </w:p>
        </w:tc>
        <w:tc>
          <w:tcPr>
            <w:tcW w:type="dxa" w:w="6633"/>
            <w:vAlign w:val="center"/>
            <w:shd w:fill="FFFFFF" w:val="clear"/>
          </w:tcPr>
          <w:p>
            <w:r>
              <w:rPr>
                <w:rFonts w:ascii="Calibri" w:hAnsi="Calibri"/>
                <w:sz w:val="18"/>
              </w:rPr>
              <w:t>1ZkddXZhhC3OpK4fUGiDf64LrlAKrXIUGW4NzgxaYaJo</w:t>
            </w:r>
          </w:p>
        </w:tc>
      </w:tr>
      <w:tr>
        <w:tc>
          <w:tcPr>
            <w:tcW w:type="dxa" w:w="3402"/>
            <w:vAlign w:val="center"/>
            <w:shd w:fill="EBF3FB" w:val="clear"/>
          </w:tcPr>
          <w:p>
            <w:r>
              <w:rPr>
                <w:rFonts w:ascii="Calibri" w:hAnsi="Calibri"/>
                <w:sz w:val="18"/>
              </w:rPr>
              <w:t>Pawan Sharma</w:t>
            </w:r>
          </w:p>
        </w:tc>
        <w:tc>
          <w:tcPr>
            <w:tcW w:type="dxa" w:w="6633"/>
            <w:vAlign w:val="center"/>
            <w:shd w:fill="EBF3FB" w:val="clear"/>
          </w:tcPr>
          <w:p>
            <w:r>
              <w:rPr>
                <w:rFonts w:ascii="Calibri" w:hAnsi="Calibri"/>
                <w:sz w:val="18"/>
              </w:rPr>
              <w:t>1H7zfz2BQyy5n5SJAAKfm9S3VJw89LF8dcU9GVgk-J8Q</w:t>
            </w:r>
          </w:p>
        </w:tc>
      </w:tr>
      <w:tr>
        <w:tc>
          <w:tcPr>
            <w:tcW w:type="dxa" w:w="3402"/>
            <w:vAlign w:val="center"/>
            <w:shd w:fill="FFFFFF" w:val="clear"/>
          </w:tcPr>
          <w:p>
            <w:r>
              <w:rPr>
                <w:rFonts w:ascii="Calibri" w:hAnsi="Calibri"/>
                <w:sz w:val="18"/>
              </w:rPr>
              <w:t>Nasir Hussain Khan</w:t>
            </w:r>
          </w:p>
        </w:tc>
        <w:tc>
          <w:tcPr>
            <w:tcW w:type="dxa" w:w="6633"/>
            <w:vAlign w:val="center"/>
            <w:shd w:fill="FFFFFF" w:val="clear"/>
          </w:tcPr>
          <w:p>
            <w:r>
              <w:rPr>
                <w:rFonts w:ascii="Calibri" w:hAnsi="Calibri"/>
                <w:sz w:val="18"/>
              </w:rPr>
              <w:t>1OI6q1QYaoSfY7fC4QcwvYeGEV6q6CRX6hTlFaVFmqFM</w:t>
            </w:r>
          </w:p>
        </w:tc>
      </w:tr>
      <w:tr>
        <w:tc>
          <w:tcPr>
            <w:tcW w:type="dxa" w:w="3402"/>
            <w:vAlign w:val="center"/>
            <w:shd w:fill="EBF3FB" w:val="clear"/>
          </w:tcPr>
          <w:p>
            <w:r>
              <w:rPr>
                <w:rFonts w:ascii="Calibri" w:hAnsi="Calibri"/>
                <w:sz w:val="18"/>
              </w:rPr>
              <w:t>Sulinder Pal</w:t>
            </w:r>
          </w:p>
        </w:tc>
        <w:tc>
          <w:tcPr>
            <w:tcW w:type="dxa" w:w="6633"/>
            <w:vAlign w:val="center"/>
            <w:shd w:fill="EBF3FB" w:val="clear"/>
          </w:tcPr>
          <w:p>
            <w:r>
              <w:rPr>
                <w:rFonts w:ascii="Calibri" w:hAnsi="Calibri"/>
                <w:sz w:val="18"/>
              </w:rPr>
              <w:t>1zX1UEQAiAOsEafRx9WKchi2BGbsrxp5_k11TXAn_p6U</w:t>
            </w:r>
          </w:p>
        </w:tc>
      </w:tr>
      <w:tr>
        <w:tc>
          <w:tcPr>
            <w:tcW w:type="dxa" w:w="3402"/>
            <w:vAlign w:val="center"/>
            <w:shd w:fill="FFFFFF" w:val="clear"/>
          </w:tcPr>
          <w:p>
            <w:r>
              <w:rPr>
                <w:rFonts w:ascii="Calibri" w:hAnsi="Calibri"/>
                <w:sz w:val="18"/>
              </w:rPr>
              <w:t>Sunil Patel</w:t>
            </w:r>
          </w:p>
        </w:tc>
        <w:tc>
          <w:tcPr>
            <w:tcW w:type="dxa" w:w="6633"/>
            <w:vAlign w:val="center"/>
            <w:shd w:fill="FFFFFF" w:val="clear"/>
          </w:tcPr>
          <w:p>
            <w:r>
              <w:rPr>
                <w:rFonts w:ascii="Calibri" w:hAnsi="Calibri"/>
                <w:sz w:val="18"/>
              </w:rPr>
              <w:t>1nOEDqVQ0X1eYSbDhq-9x5yoBWTFJm9VpX9tjptDV4m8</w:t>
            </w:r>
          </w:p>
        </w:tc>
      </w:tr>
      <w:tr>
        <w:tc>
          <w:tcPr>
            <w:tcW w:type="dxa" w:w="3402"/>
            <w:vAlign w:val="center"/>
            <w:shd w:fill="EBF3FB" w:val="clear"/>
          </w:tcPr>
          <w:p>
            <w:r>
              <w:rPr>
                <w:rFonts w:ascii="Calibri" w:hAnsi="Calibri"/>
                <w:sz w:val="18"/>
              </w:rPr>
              <w:t>Tamil Nadu</w:t>
            </w:r>
          </w:p>
        </w:tc>
        <w:tc>
          <w:tcPr>
            <w:tcW w:type="dxa" w:w="6633"/>
            <w:vAlign w:val="center"/>
            <w:shd w:fill="EBF3FB" w:val="clear"/>
          </w:tcPr>
          <w:p>
            <w:r>
              <w:rPr>
                <w:rFonts w:ascii="Calibri" w:hAnsi="Calibri"/>
                <w:sz w:val="18"/>
              </w:rPr>
              <w:t>1kATkh-w4zebYIzlyoK0_GzPR1DD1n0ryEow4Ng26bH8</w:t>
            </w:r>
          </w:p>
        </w:tc>
      </w:tr>
      <w:tr>
        <w:tc>
          <w:tcPr>
            <w:tcW w:type="dxa" w:w="3402"/>
            <w:vAlign w:val="center"/>
            <w:shd w:fill="FFFFFF" w:val="clear"/>
          </w:tcPr>
          <w:p>
            <w:r>
              <w:rPr>
                <w:rFonts w:ascii="Calibri" w:hAnsi="Calibri"/>
                <w:sz w:val="18"/>
              </w:rPr>
              <w:t>AP Telangana</w:t>
            </w:r>
          </w:p>
        </w:tc>
        <w:tc>
          <w:tcPr>
            <w:tcW w:type="dxa" w:w="6633"/>
            <w:vAlign w:val="center"/>
            <w:shd w:fill="FFFFFF" w:val="clear"/>
          </w:tcPr>
          <w:p>
            <w:r>
              <w:rPr>
                <w:rFonts w:ascii="Calibri" w:hAnsi="Calibri"/>
                <w:sz w:val="18"/>
              </w:rPr>
              <w:t>1km-8e4Jw3X_1BoKJDeSTps6h9j3_o7m0g1TdrQzkVA4</w:t>
            </w:r>
          </w:p>
        </w:tc>
      </w:tr>
      <w:tr>
        <w:tc>
          <w:tcPr>
            <w:tcW w:type="dxa" w:w="3402"/>
            <w:vAlign w:val="center"/>
            <w:shd w:fill="EBF3FB" w:val="clear"/>
          </w:tcPr>
          <w:p>
            <w:r>
              <w:rPr>
                <w:rFonts w:ascii="Calibri" w:hAnsi="Calibri"/>
                <w:sz w:val="18"/>
              </w:rPr>
              <w:t>PROJECT</w:t>
            </w:r>
          </w:p>
        </w:tc>
        <w:tc>
          <w:tcPr>
            <w:tcW w:type="dxa" w:w="6633"/>
            <w:vAlign w:val="center"/>
            <w:shd w:fill="EBF3FB" w:val="clear"/>
          </w:tcPr>
          <w:p>
            <w:r>
              <w:rPr>
                <w:rFonts w:ascii="Calibri" w:hAnsi="Calibri"/>
                <w:sz w:val="18"/>
              </w:rPr>
              <w:t>12rxWN5Wyh3J_z5PyLpyGFWkIibzlkHfsD2VDkt-NXFI</w:t>
            </w:r>
          </w:p>
        </w:tc>
      </w:tr>
      <w:tr>
        <w:tc>
          <w:tcPr>
            <w:tcW w:type="dxa" w:w="3402"/>
            <w:vAlign w:val="center"/>
            <w:shd w:fill="FFFFFF" w:val="clear"/>
          </w:tcPr>
          <w:p>
            <w:r>
              <w:rPr>
                <w:rFonts w:ascii="Calibri" w:hAnsi="Calibri"/>
                <w:sz w:val="18"/>
              </w:rPr>
              <w:t>OTHER</w:t>
            </w:r>
          </w:p>
        </w:tc>
        <w:tc>
          <w:tcPr>
            <w:tcW w:type="dxa" w:w="6633"/>
            <w:vAlign w:val="center"/>
            <w:shd w:fill="FFFFFF" w:val="clear"/>
          </w:tcPr>
          <w:p>
            <w:r>
              <w:rPr>
                <w:rFonts w:ascii="Calibri" w:hAnsi="Calibri"/>
                <w:sz w:val="18"/>
              </w:rPr>
              <w:t>1ITKHwizpmqMNPA5D0eI2dJhzGhTGra0flEcn2fcSDew</w:t>
            </w:r>
          </w:p>
        </w:tc>
      </w:tr>
    </w:tbl>
    <w:p/>
    <w:p>
      <w:pPr>
        <w:pStyle w:val="Heading1"/>
        <w:jc w:val="left"/>
      </w:pPr>
      <w:r>
        <w:rPr>
          <w:rFonts w:ascii="Calibri" w:hAnsi="Calibri"/>
          <w:color w:val="1F497D"/>
          <w:sz w:val="32"/>
        </w:rPr>
        <w:t>6. Summary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10 spreadsheets + 3 Drive folders: </w:t>
      </w:r>
      <w:r>
        <w:rPr>
          <w:rFonts w:ascii="Calibri" w:hAnsi="Calibri"/>
          <w:sz w:val="20"/>
        </w:rPr>
        <w:t>Fully connected and verified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2 sources: </w:t>
      </w:r>
      <w:r>
        <w:rPr>
          <w:rFonts w:ascii="Calibri" w:hAnsi="Calibri"/>
          <w:sz w:val="20"/>
        </w:rPr>
        <w:t>Pending (secondary_order_booking_26_27 and hr_sfa_dashboard_26_27 are null for FY26-27 — app handles gracefully)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5 sheets from reference config: </w:t>
      </w:r>
      <w:r>
        <w:rPr>
          <w:rFonts w:ascii="Calibri" w:hAnsi="Calibri"/>
          <w:sz w:val="20"/>
        </w:rPr>
        <w:t>Not currently read by app (output/summary sheets — no action needed unless a new data-loading use case is required)</w:t>
      </w:r>
    </w:p>
    <w:p>
      <w:pPr>
        <w:pStyle w:val="ListBullet"/>
      </w:pPr>
      <w:r>
        <w:rPr>
          <w:rFonts w:ascii="Calibri" w:hAnsi="Calibri"/>
          <w:b/>
          <w:sz w:val="20"/>
        </w:rPr>
        <w:t xml:space="preserve">13 per-head workbooks: </w:t>
      </w:r>
      <w:r>
        <w:rPr>
          <w:rFonts w:ascii="Calibri" w:hAnsi="Calibri"/>
          <w:sz w:val="20"/>
        </w:rPr>
        <w:t>Accessible via folder scan — no individual registration required</w:t>
      </w:r>
    </w:p>
    <w:p/>
    <w:p>
      <w:r>
        <w:rPr>
          <w:rFonts w:ascii="Calibri" w:hAnsi="Calibri"/>
          <w:b/>
          <w:i w:val="0"/>
          <w:color w:val="1F497D"/>
          <w:sz w:val="20"/>
        </w:rPr>
        <w:t>All IDs in the reference config match the live app configuration exactly. No corrective changes were required.</w:t>
      </w:r>
    </w:p>
    <w:p/>
    <w:p>
      <w:pPr>
        <w:jc w:val="center"/>
      </w:pPr>
      <w:r>
        <w:rPr>
          <w:rFonts w:ascii="Calibri" w:hAnsi="Calibri"/>
          <w:color w:val="A0A0A0"/>
          <w:sz w:val="16"/>
        </w:rPr>
        <w:t>Generated by Prayag Sales Intelligence  |  Replit Agent  |  12 July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