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PA3 - prove the whole chain on Anant Singh before building more</w:t>
      </w:r>
    </w:p>
    <w:p>
      <w:pPr>
        <w:spacing w:after="150"/>
      </w:pPr>
      <w:r>
        <w:rPr>
          <w:i/>
          <w:iCs/>
          <w:color w:val="555555"/>
        </w:rPr>
        <w:t xml:space="preserve">Four things have been built since the last generated pack. None has been tested together on known data.</w:t>
      </w:r>
    </w:p>
    <w:p>
      <w:pPr>
        <w:pStyle w:val="Heading1"/>
        <w:spacing w:after="100" w:before="240"/>
      </w:pPr>
      <w:r>
        <w:rPr>
          <w:b/>
          <w:bCs/>
        </w:rPr>
        <w:t xml:space="preserve">PA2 is accepted</w:t>
      </w:r>
    </w:p>
    <w:p>
      <w:pPr>
        <w:pBdr>
          <w:top w:val="single" w:color="A8C8B0" w:sz="6" w:space="6"/>
          <w:bottom w:val="single" w:color="A8C8B0" w:sz="6" w:space="6"/>
          <w:left w:val="single" w:color="A8C8B0" w:sz="6" w:space="6"/>
          <w:right w:val="single" w:color="A8C8B0" w:sz="6" w:space="6"/>
        </w:pBdr>
        <w:shd w:fill="EAF4EC" w:color="auto" w:val="clear"/>
        <w:spacing w:after="120"/>
      </w:pPr>
      <w:r>
        <w:t xml:space="preserve">Period metadata on all six AI routes, a period rule in every system prompt, runPeriodGuard after the numeric guard, the mismatch banner, cover and footer stamps, and the period in both filenames and batch folder names. The filename change matters more than it looks - the filename is what people quote in an email, and it was the one place a correct cover page could still be undone.</w:t>
      </w:r>
    </w:p>
    <w:p>
      <w:pPr>
        <w:pStyle w:val="Heading1"/>
        <w:spacing w:after="100" w:before="240"/>
      </w:pPr>
      <w:r>
        <w:rPr>
          <w:b/>
          <w:bCs/>
        </w:rPr>
        <w:t xml:space="preserve">One refinement - a false mismatch is coming</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periodMismatch FIRES WHENEVER THE SELECTION IS NOT LITERALLY 'ytd'. But with the cutoff at 30 June, selecting Q1 covers April to June, and year-to-date ALSO covers April to June. They are the same period. The banner will announce a mismatch between two identical things, and a warning that fires when nothing is wrong is how people learn to ignore warnings.</w:t>
      </w:r>
    </w:p>
    <w:p>
      <w:pPr>
        <w:spacing w:after="100"/>
      </w:pPr>
      <w:r>
        <w:t xml:space="preserve">Compare the RESOLVED MONTH SETS rather than the labels. If the selected period and the covered period resolve to the same months, suppress the banner and print the selected label - because it is accurate. Keep the banner for Full Year, for a single month, and for any quarter that genuinely differs.</w:t>
      </w:r>
    </w:p>
    <w:p>
      <w:pPr>
        <w:pStyle w:val="Heading1"/>
        <w:spacing w:after="100" w:before="240"/>
      </w:pPr>
      <w:r>
        <w:rPr>
          <w:b/>
          <w:bCs/>
        </w:rPr>
        <w:t xml:space="preserve">Why test now rather than build the next page</w:t>
      </w:r>
    </w:p>
    <w:p>
      <w:pPr>
        <w:spacing w:after="100"/>
      </w:pPr>
      <w:r>
        <w:t xml:space="preserve">Four things have been built since the last report pack was produced, and none has been exercised together:</w:t>
      </w:r>
    </w:p>
    <w:p>
      <w:pPr>
        <w:spacing w:after="40"/>
        <w:ind w:left="360"/>
      </w:pPr>
      <w:r>
        <w:t xml:space="preserve">- BA - LEFT members excluded from batch generation and refused a travel plan</w:t>
      </w:r>
    </w:p>
    <w:p>
      <w:pPr>
        <w:spacing w:after="40"/>
        <w:ind w:left="360"/>
      </w:pPr>
      <w:r>
        <w:t xml:space="preserve">- BD - per-member elapsed months read from the sheet</w:t>
      </w:r>
    </w:p>
    <w:p>
      <w:pPr>
        <w:spacing w:after="40"/>
        <w:ind w:left="360"/>
      </w:pPr>
      <w:r>
        <w:t xml:space="preserve">- PS1 - the period resolver</w:t>
      </w:r>
    </w:p>
    <w:p>
      <w:pPr>
        <w:spacing w:after="40"/>
        <w:ind w:left="360"/>
      </w:pPr>
      <w:r>
        <w:t xml:space="preserve">- PA1 and PA2 - capability declaration and document period labelling</w:t>
      </w:r>
    </w:p>
    <w:p>
      <w:pPr>
        <w:pBdr>
          <w:top w:val="single" w:color="BBCCDD" w:sz="6" w:space="6"/>
          <w:bottom w:val="single" w:color="BBCCDD" w:sz="6" w:space="6"/>
          <w:left w:val="single" w:color="BBCCDD" w:sz="6" w:space="6"/>
          <w:right w:val="single" w:color="BBCCDD" w:sz="6" w:space="6"/>
        </w:pBdr>
        <w:shd w:fill="EEF3F7" w:color="auto" w:val="clear"/>
        <w:spacing w:after="120"/>
      </w:pPr>
      <w:r>
        <w:t xml:space="preserve">Anant Singh is the right test because his figures are known to the rupee and because the existing pack is demonstrably wrong - it contains a full member report and a forward visit plan for Jagdev, who is marked LEFT. Regenerating it is both a test of everything above and the correction of a known-bad artifact.</w:t>
      </w:r>
    </w:p>
    <w:p>
      <w:pPr>
        <w:pStyle w:val="Heading1"/>
        <w:spacing w:after="100" w:before="240"/>
      </w:pPr>
      <w:r>
        <w:rPr>
          <w:b/>
          <w:bCs/>
        </w:rPr>
        <w:t xml:space="preserve">What the regenerated pack must show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Mar>
              <w:top w:type="dxa" w:w="46"/>
              <w:left w:type="dxa" w:w="74"/>
              <w:bottom w:type="dxa" w:w="46"/>
              <w:right w:type="dxa" w:w="74"/>
            </w:tcMar>
          </w:tcPr>
          <w:p>
            <w:r>
              <w:rPr>
                <w:b/>
                <w:bCs/>
                <w:sz w:val="15"/>
                <w:szCs w:val="15"/>
              </w:rPr>
              <w:t xml:space="preserve"/>
            </w:r>
          </w:p>
        </w:tc>
        <w:tc>
          <w:tcPr>
            <w:tcW w:type="pct" w:w="26%"/>
            <w:tcMar>
              <w:top w:type="dxa" w:w="46"/>
              <w:left w:type="dxa" w:w="74"/>
              <w:bottom w:type="dxa" w:w="46"/>
              <w:right w:type="dxa" w:w="74"/>
            </w:tcMar>
          </w:tcPr>
          <w:p>
            <w:r>
              <w:rPr>
                <w:b/>
                <w:bCs/>
                <w:sz w:val="15"/>
                <w:szCs w:val="15"/>
              </w:rPr>
              <w:t xml:space="preserve">All 13 (old pack)</w:t>
            </w:r>
          </w:p>
        </w:tc>
        <w:tc>
          <w:tcPr>
            <w:tcW w:type="pct" w:w="26%"/>
            <w:tcMar>
              <w:top w:type="dxa" w:w="46"/>
              <w:left w:type="dxa" w:w="74"/>
              <w:bottom w:type="dxa" w:w="46"/>
              <w:right w:type="dxa" w:w="74"/>
            </w:tcMar>
          </w:tcPr>
          <w:p>
            <w:r>
              <w:rPr>
                <w:b/>
                <w:bCs/>
                <w:sz w:val="15"/>
                <w:szCs w:val="15"/>
              </w:rPr>
              <w:t xml:space="preserve">10 active (correct)</w:t>
            </w:r>
          </w:p>
        </w:tc>
      </w:tr>
      <w:tr>
        <w:trPr>
          <w:tblHeader w:val="false"/>
        </w:trPr>
        <w:tc>
          <w:tcPr>
            <w:tcW w:type="pct" w:w="26%"/>
            <w:tcMar>
              <w:top w:type="dxa" w:w="46"/>
              <w:left w:type="dxa" w:w="74"/>
              <w:bottom w:type="dxa" w:w="46"/>
              <w:right w:type="dxa" w:w="74"/>
            </w:tcMar>
          </w:tcPr>
          <w:p>
            <w:r>
              <w:rPr>
                <w:b w:val="false"/>
                <w:bCs w:val="false"/>
                <w:sz w:val="15"/>
                <w:szCs w:val="15"/>
              </w:rPr>
              <w:t xml:space="preserve">Members</w:t>
            </w:r>
          </w:p>
        </w:tc>
        <w:tc>
          <w:tcPr>
            <w:tcW w:type="pct" w:w="26%"/>
            <w:tcMar>
              <w:top w:type="dxa" w:w="46"/>
              <w:left w:type="dxa" w:w="74"/>
              <w:bottom w:type="dxa" w:w="46"/>
              <w:right w:type="dxa" w:w="74"/>
            </w:tcMar>
          </w:tcPr>
          <w:p>
            <w:r>
              <w:rPr>
                <w:b w:val="false"/>
                <w:bCs w:val="false"/>
                <w:sz w:val="15"/>
                <w:szCs w:val="15"/>
              </w:rPr>
              <w:t xml:space="preserve">13</w:t>
            </w:r>
          </w:p>
        </w:tc>
        <w:tc>
          <w:tcPr>
            <w:tcW w:type="pct" w:w="26%"/>
            <w:tcMar>
              <w:top w:type="dxa" w:w="46"/>
              <w:left w:type="dxa" w:w="74"/>
              <w:bottom w:type="dxa" w:w="46"/>
              <w:right w:type="dxa" w:w="74"/>
            </w:tcMar>
          </w:tcPr>
          <w:p>
            <w:r>
              <w:rPr>
                <w:b w:val="false"/>
                <w:bCs w:val="false"/>
                <w:sz w:val="15"/>
                <w:szCs w:val="15"/>
              </w:rPr>
              <w:t xml:space="preserve">10</w:t>
            </w:r>
          </w:p>
        </w:tc>
      </w:tr>
      <w:tr>
        <w:trPr>
          <w:tblHeader w:val="false"/>
        </w:trPr>
        <w:tc>
          <w:tcPr>
            <w:tcW w:type="pct" w:w="26%"/>
            <w:tcMar>
              <w:top w:type="dxa" w:w="46"/>
              <w:left w:type="dxa" w:w="74"/>
              <w:bottom w:type="dxa" w:w="46"/>
              <w:right w:type="dxa" w:w="74"/>
            </w:tcMar>
          </w:tcPr>
          <w:p>
            <w:r>
              <w:rPr>
                <w:b w:val="false"/>
                <w:bCs w:val="false"/>
                <w:sz w:val="15"/>
                <w:szCs w:val="15"/>
              </w:rPr>
              <w:t xml:space="preserve">Order booking</w:t>
            </w:r>
          </w:p>
        </w:tc>
        <w:tc>
          <w:tcPr>
            <w:tcW w:type="pct" w:w="26%"/>
            <w:tcMar>
              <w:top w:type="dxa" w:w="46"/>
              <w:left w:type="dxa" w:w="74"/>
              <w:bottom w:type="dxa" w:w="46"/>
              <w:right w:type="dxa" w:w="74"/>
            </w:tcMar>
          </w:tcPr>
          <w:p>
            <w:r>
              <w:rPr>
                <w:b w:val="false"/>
                <w:bCs w:val="false"/>
                <w:sz w:val="15"/>
                <w:szCs w:val="15"/>
              </w:rPr>
              <w:t xml:space="preserve">Rs 2.56 Cr</w:t>
            </w:r>
          </w:p>
        </w:tc>
        <w:tc>
          <w:tcPr>
            <w:tcW w:type="pct" w:w="26%"/>
            <w:tcMar>
              <w:top w:type="dxa" w:w="46"/>
              <w:left w:type="dxa" w:w="74"/>
              <w:bottom w:type="dxa" w:w="46"/>
              <w:right w:type="dxa" w:w="74"/>
            </w:tcMar>
          </w:tcPr>
          <w:p>
            <w:r>
              <w:rPr>
                <w:b w:val="false"/>
                <w:bCs w:val="false"/>
                <w:sz w:val="15"/>
                <w:szCs w:val="15"/>
              </w:rPr>
              <w:t xml:space="preserve">Rs 2.35 Cr</w:t>
            </w:r>
          </w:p>
        </w:tc>
      </w:tr>
      <w:tr>
        <w:trPr>
          <w:tblHeader w:val="false"/>
        </w:trPr>
        <w:tc>
          <w:tcPr>
            <w:tcW w:type="pct" w:w="26%"/>
            <w:tcMar>
              <w:top w:type="dxa" w:w="46"/>
              <w:left w:type="dxa" w:w="74"/>
              <w:bottom w:type="dxa" w:w="46"/>
              <w:right w:type="dxa" w:w="74"/>
            </w:tcMar>
          </w:tcPr>
          <w:p>
            <w:r>
              <w:rPr>
                <w:b w:val="false"/>
                <w:bCs w:val="false"/>
                <w:sz w:val="15"/>
                <w:szCs w:val="15"/>
              </w:rPr>
              <w:t xml:space="preserve">Sales received</w:t>
            </w:r>
          </w:p>
        </w:tc>
        <w:tc>
          <w:tcPr>
            <w:tcW w:type="pct" w:w="26%"/>
            <w:tcMar>
              <w:top w:type="dxa" w:w="46"/>
              <w:left w:type="dxa" w:w="74"/>
              <w:bottom w:type="dxa" w:w="46"/>
              <w:right w:type="dxa" w:w="74"/>
            </w:tcMar>
          </w:tcPr>
          <w:p>
            <w:r>
              <w:rPr>
                <w:b w:val="false"/>
                <w:bCs w:val="false"/>
                <w:sz w:val="15"/>
                <w:szCs w:val="15"/>
              </w:rPr>
              <w:t xml:space="preserve">Rs 2.59 Cr</w:t>
            </w:r>
          </w:p>
        </w:tc>
        <w:tc>
          <w:tcPr>
            <w:tcW w:type="pct" w:w="26%"/>
            <w:tcMar>
              <w:top w:type="dxa" w:w="46"/>
              <w:left w:type="dxa" w:w="74"/>
              <w:bottom w:type="dxa" w:w="46"/>
              <w:right w:type="dxa" w:w="74"/>
            </w:tcMar>
          </w:tcPr>
          <w:p>
            <w:r>
              <w:rPr>
                <w:b w:val="false"/>
                <w:bCs w:val="false"/>
                <w:sz w:val="15"/>
                <w:szCs w:val="15"/>
              </w:rPr>
              <w:t xml:space="preserve">Rs 2.41 Cr</w:t>
            </w:r>
          </w:p>
        </w:tc>
      </w:tr>
      <w:tr>
        <w:trPr>
          <w:tblHeader w:val="false"/>
        </w:trPr>
        <w:tc>
          <w:tcPr>
            <w:tcW w:type="pct" w:w="26%"/>
            <w:tcMar>
              <w:top w:type="dxa" w:w="46"/>
              <w:left w:type="dxa" w:w="74"/>
              <w:bottom w:type="dxa" w:w="46"/>
              <w:right w:type="dxa" w:w="74"/>
            </w:tcMar>
          </w:tcPr>
          <w:p>
            <w:r>
              <w:rPr>
                <w:b w:val="false"/>
                <w:bCs w:val="false"/>
                <w:sz w:val="15"/>
                <w:szCs w:val="15"/>
              </w:rPr>
              <w:t xml:space="preserve">Target to date</w:t>
            </w:r>
          </w:p>
        </w:tc>
        <w:tc>
          <w:tcPr>
            <w:tcW w:type="pct" w:w="26%"/>
            <w:tcMar>
              <w:top w:type="dxa" w:w="46"/>
              <w:left w:type="dxa" w:w="74"/>
              <w:bottom w:type="dxa" w:w="46"/>
              <w:right w:type="dxa" w:w="74"/>
            </w:tcMar>
          </w:tcPr>
          <w:p>
            <w:r>
              <w:rPr>
                <w:b w:val="false"/>
                <w:bCs w:val="false"/>
                <w:sz w:val="15"/>
                <w:szCs w:val="15"/>
              </w:rPr>
              <w:t xml:space="preserve">Rs 4.96 Cr</w:t>
            </w:r>
          </w:p>
        </w:tc>
        <w:tc>
          <w:tcPr>
            <w:tcW w:type="pct" w:w="26%"/>
            <w:tcMar>
              <w:top w:type="dxa" w:w="46"/>
              <w:left w:type="dxa" w:w="74"/>
              <w:bottom w:type="dxa" w:w="46"/>
              <w:right w:type="dxa" w:w="74"/>
            </w:tcMar>
          </w:tcPr>
          <w:p>
            <w:r>
              <w:rPr>
                <w:b w:val="false"/>
                <w:bCs w:val="false"/>
                <w:sz w:val="15"/>
                <w:szCs w:val="15"/>
              </w:rPr>
              <w:t xml:space="preserve">Rs 4.03 Cr</w:t>
            </w:r>
          </w:p>
        </w:tc>
      </w:tr>
      <w:tr>
        <w:trPr>
          <w:tblHeader w:val="false"/>
        </w:trPr>
        <w:tc>
          <w:tcPr>
            <w:tcW w:type="pct" w:w="26%"/>
            <w:tcMar>
              <w:top w:type="dxa" w:w="46"/>
              <w:left w:type="dxa" w:w="74"/>
              <w:bottom w:type="dxa" w:w="46"/>
              <w:right w:type="dxa" w:w="74"/>
            </w:tcMar>
          </w:tcPr>
          <w:p>
            <w:r>
              <w:rPr>
                <w:b w:val="false"/>
                <w:bCs w:val="false"/>
                <w:sz w:val="15"/>
                <w:szCs w:val="15"/>
              </w:rPr>
              <w:t xml:space="preserve">Achievement</w:t>
            </w:r>
          </w:p>
        </w:tc>
        <w:tc>
          <w:tcPr>
            <w:tcW w:type="pct" w:w="26%"/>
            <w:tcMar>
              <w:top w:type="dxa" w:w="46"/>
              <w:left w:type="dxa" w:w="74"/>
              <w:bottom w:type="dxa" w:w="46"/>
              <w:right w:type="dxa" w:w="74"/>
            </w:tcMar>
          </w:tcPr>
          <w:p>
            <w:r>
              <w:rPr>
                <w:b w:val="false"/>
                <w:bCs w:val="false"/>
                <w:sz w:val="15"/>
                <w:szCs w:val="15"/>
              </w:rPr>
              <w:t xml:space="preserve">51.7%</w:t>
            </w:r>
          </w:p>
        </w:tc>
        <w:tc>
          <w:tcPr>
            <w:tcW w:type="pct" w:w="26%"/>
            <w:tcMar>
              <w:top w:type="dxa" w:w="46"/>
              <w:left w:type="dxa" w:w="74"/>
              <w:bottom w:type="dxa" w:w="46"/>
              <w:right w:type="dxa" w:w="74"/>
            </w:tcMar>
          </w:tcPr>
          <w:p>
            <w:r>
              <w:rPr>
                <w:b w:val="false"/>
                <w:bCs w:val="false"/>
                <w:sz w:val="15"/>
                <w:szCs w:val="15"/>
              </w:rPr>
              <w:t xml:space="preserve">58.4%</w:t>
            </w:r>
          </w:p>
        </w:tc>
      </w:tr>
      <w:tr>
        <w:trPr>
          <w:tblHeader w:val="false"/>
        </w:trPr>
        <w:tc>
          <w:tcPr>
            <w:tcW w:type="pct" w:w="26%"/>
            <w:tcMar>
              <w:top w:type="dxa" w:w="46"/>
              <w:left w:type="dxa" w:w="74"/>
              <w:bottom w:type="dxa" w:w="46"/>
              <w:right w:type="dxa" w:w="74"/>
            </w:tcMar>
          </w:tcPr>
          <w:p>
            <w:r>
              <w:rPr>
                <w:b w:val="false"/>
                <w:bCs w:val="false"/>
                <w:sz w:val="15"/>
                <w:szCs w:val="15"/>
              </w:rPr>
              <w:t xml:space="preserve">Visits</w:t>
            </w:r>
          </w:p>
        </w:tc>
        <w:tc>
          <w:tcPr>
            <w:tcW w:type="pct" w:w="26%"/>
            <w:tcMar>
              <w:top w:type="dxa" w:w="46"/>
              <w:left w:type="dxa" w:w="74"/>
              <w:bottom w:type="dxa" w:w="46"/>
              <w:right w:type="dxa" w:w="74"/>
            </w:tcMar>
          </w:tcPr>
          <w:p>
            <w:r>
              <w:rPr>
                <w:b w:val="false"/>
                <w:bCs w:val="false"/>
                <w:sz w:val="15"/>
                <w:szCs w:val="15"/>
              </w:rPr>
              <w:t xml:space="preserve">5,281</w:t>
            </w:r>
          </w:p>
        </w:tc>
        <w:tc>
          <w:tcPr>
            <w:tcW w:type="pct" w:w="26%"/>
            <w:tcMar>
              <w:top w:type="dxa" w:w="46"/>
              <w:left w:type="dxa" w:w="74"/>
              <w:bottom w:type="dxa" w:w="46"/>
              <w:right w:type="dxa" w:w="74"/>
            </w:tcMar>
          </w:tcPr>
          <w:p>
            <w:r>
              <w:rPr>
                <w:b w:val="false"/>
                <w:bCs w:val="false"/>
                <w:sz w:val="15"/>
                <w:szCs w:val="15"/>
              </w:rPr>
              <w:t xml:space="preserve">4,522</w:t>
            </w:r>
          </w:p>
        </w:tc>
      </w:tr>
      <w:tr>
        <w:trPr>
          <w:tblHeader w:val="false"/>
        </w:trPr>
        <w:tc>
          <w:tcPr>
            <w:tcW w:type="pct" w:w="26%"/>
            <w:tcMar>
              <w:top w:type="dxa" w:w="46"/>
              <w:left w:type="dxa" w:w="74"/>
              <w:bottom w:type="dxa" w:w="46"/>
              <w:right w:type="dxa" w:w="74"/>
            </w:tcMar>
          </w:tcPr>
          <w:p>
            <w:r>
              <w:rPr>
                <w:b w:val="false"/>
                <w:bCs w:val="false"/>
                <w:sz w:val="15"/>
                <w:szCs w:val="15"/>
              </w:rPr>
              <w:t xml:space="preserve">Retailers</w:t>
            </w:r>
          </w:p>
        </w:tc>
        <w:tc>
          <w:tcPr>
            <w:tcW w:type="pct" w:w="26%"/>
            <w:tcMar>
              <w:top w:type="dxa" w:w="46"/>
              <w:left w:type="dxa" w:w="74"/>
              <w:bottom w:type="dxa" w:w="46"/>
              <w:right w:type="dxa" w:w="74"/>
            </w:tcMar>
          </w:tcPr>
          <w:p>
            <w:r>
              <w:rPr>
                <w:b w:val="false"/>
                <w:bCs w:val="false"/>
                <w:sz w:val="15"/>
                <w:szCs w:val="15"/>
              </w:rPr>
              <w:t xml:space="preserve">863</w:t>
            </w:r>
          </w:p>
        </w:tc>
        <w:tc>
          <w:tcPr>
            <w:tcW w:type="pct" w:w="26%"/>
            <w:tcMar>
              <w:top w:type="dxa" w:w="46"/>
              <w:left w:type="dxa" w:w="74"/>
              <w:bottom w:type="dxa" w:w="46"/>
              <w:right w:type="dxa" w:w="74"/>
            </w:tcMar>
          </w:tcPr>
          <w:p>
            <w:r>
              <w:rPr>
                <w:b w:val="false"/>
                <w:bCs w:val="false"/>
                <w:sz w:val="15"/>
                <w:szCs w:val="15"/>
              </w:rPr>
              <w:t xml:space="preserve">748</w:t>
            </w:r>
          </w:p>
        </w:tc>
      </w:tr>
    </w:tbl>
    <w:p>
      <w:pPr>
        <w:pBdr>
          <w:top w:val="single" w:color="E0B4A8" w:sz="6" w:space="6"/>
          <w:bottom w:val="single" w:color="E0B4A8" w:sz="6" w:space="6"/>
          <w:left w:val="single" w:color="E0B4A8" w:sz="6" w:space="6"/>
          <w:right w:val="single" w:color="E0B4A8" w:sz="6" w:space="6"/>
        </w:pBdr>
        <w:shd w:fill="FBE9E7" w:color="auto" w:val="clear"/>
        <w:spacing w:after="120"/>
      </w:pPr>
      <w:r>
        <w:t xml:space="preserve">ACHIEVEMENT MOVES FROM 51.7 TO 58.4 PER CENT - a 6.7 point jump caused entirely by excluding three departed members and their targets. That is an organisational change, not a commercial one, and the State Head report must say so explicitly. Anyone comparing the new pack against the old one will otherwise read it as a quarter of improvement that did not happen.</w:t>
      </w:r>
    </w:p>
    <w:p>
      <w:pPr>
        <w:pStyle w:val="Heading1"/>
        <w:spacing w:after="100" w:before="240"/>
      </w:pPr>
      <w:r>
        <w:rPr>
          <w:b/>
          <w:bCs/>
        </w:rPr>
        <w:t xml:space="preserve">Prompt PA3</w:t>
      </w:r>
    </w:p>
    <w:p>
      <w:pPr>
        <w:spacing w:after="20" w:before="100"/>
      </w:pPr>
      <w:r>
        <w:rPr>
          <w:b/>
          <w:bCs/>
          <w:i/>
          <w:iCs/>
          <w:color w:val="444444"/>
        </w:rPr>
        <w:t xml:space="preserve">PROMPT - PA3</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5"/>
          <w:szCs w:val="15"/>
        </w:rPr>
        <w:t xml:space="preserve">Prayag app - end-to-end verification on Anant Singh. Same global rules as every</w:t>
      </w:r>
      <w:r>
        <w:rPr>
          <w:rFonts w:ascii="Courier New" w:cs="Courier New" w:eastAsia="Courier New" w:hAnsi="Courier New"/>
          <w:sz w:val="15"/>
          <w:szCs w:val="15"/>
        </w:rPr>
        <w:br/>
        <w:t xml:space="preserve">earlier phase. This is a TEST of what has already been built, not new construction.</w:t>
      </w:r>
      <w:r>
        <w:rPr>
          <w:rFonts w:ascii="Courier New" w:cs="Courier New" w:eastAsia="Courier New" w:hAnsi="Courier New"/>
          <w:sz w:val="15"/>
          <w:szCs w:val="15"/>
        </w:rPr>
        <w:br/>
        <w:t xml:space="preserve">Change nothing unless a check fails.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0. FIRST, one small correction from PA2. periodMismatch currently fires whenever the</w:t>
      </w:r>
      <w:r>
        <w:rPr>
          <w:rFonts w:ascii="Courier New" w:cs="Courier New" w:eastAsia="Courier New" w:hAnsi="Courier New"/>
          <w:sz w:val="15"/>
          <w:szCs w:val="15"/>
        </w:rPr>
        <w:br/>
        <w:t xml:space="preserve">   selection is not literally 'ytd'. With the cutoff at 30 June, selecting Q1 covers</w:t>
      </w:r>
      <w:r>
        <w:rPr>
          <w:rFonts w:ascii="Courier New" w:cs="Courier New" w:eastAsia="Courier New" w:hAnsi="Courier New"/>
          <w:sz w:val="15"/>
          <w:szCs w:val="15"/>
        </w:rPr>
        <w:br/>
        <w:t xml:space="preserve">   April to June and year-to-date covers April to June - the same months. The banner</w:t>
      </w:r>
      <w:r>
        <w:rPr>
          <w:rFonts w:ascii="Courier New" w:cs="Courier New" w:eastAsia="Courier New" w:hAnsi="Courier New"/>
          <w:sz w:val="15"/>
          <w:szCs w:val="15"/>
        </w:rPr>
        <w:br/>
        <w:t xml:space="preserve">   would announce a mismatch between two identical periods.</w:t>
      </w:r>
      <w:r>
        <w:rPr>
          <w:rFonts w:ascii="Courier New" w:cs="Courier New" w:eastAsia="Courier New" w:hAnsi="Courier New"/>
          <w:sz w:val="15"/>
          <w:szCs w:val="15"/>
        </w:rPr>
        <w:br/>
        <w:t xml:space="preserve">   Compare RESOLVED MONTH SETS, not labels. If they match, suppress the banner and</w:t>
      </w:r>
      <w:r>
        <w:rPr>
          <w:rFonts w:ascii="Courier New" w:cs="Courier New" w:eastAsia="Courier New" w:hAnsi="Courier New"/>
          <w:sz w:val="15"/>
          <w:szCs w:val="15"/>
        </w:rPr>
        <w:br/>
        <w:t xml:space="preserve">   print the selected label. Keep it for Full Year, single months, and any quarter</w:t>
      </w:r>
      <w:r>
        <w:rPr>
          <w:rFonts w:ascii="Courier New" w:cs="Courier New" w:eastAsia="Courier New" w:hAnsi="Courier New"/>
          <w:sz w:val="15"/>
          <w:szCs w:val="15"/>
        </w:rPr>
        <w:br/>
        <w:t xml:space="preserve">   that genuinely differs.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1. GENERATE THE FULL REPORT PACK for State Head 'Anant Singh', FY2026-27, year to</w:t>
      </w:r>
      <w:r>
        <w:rPr>
          <w:rFonts w:ascii="Courier New" w:cs="Courier New" w:eastAsia="Courier New" w:hAnsi="Courier New"/>
          <w:sz w:val="15"/>
          <w:szCs w:val="15"/>
        </w:rPr>
        <w:br/>
        <w:t xml:space="preserve">   date. Every artifact: State Head report, member reports, suggestions, visit plans,</w:t>
      </w:r>
      <w:r>
        <w:rPr>
          <w:rFonts w:ascii="Courier New" w:cs="Courier New" w:eastAsia="Courier New" w:hAnsi="Courier New"/>
          <w:sz w:val="15"/>
          <w:szCs w:val="15"/>
        </w:rPr>
        <w:br/>
        <w:t xml:space="preserve">   performance reviews, and the deck.</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2. VERIFY MEMBER SCOPE. Three members are marked LEFT in column BA - Jagdev, Shiv</w:t>
      </w:r>
      <w:r>
        <w:rPr>
          <w:rFonts w:ascii="Courier New" w:cs="Courier New" w:eastAsia="Courier New" w:hAnsi="Courier New"/>
          <w:sz w:val="15"/>
          <w:szCs w:val="15"/>
        </w:rPr>
        <w:br/>
        <w:t xml:space="preserve">   Kumar and Ravi Upadhyay. The pack must contain:</w:t>
      </w:r>
      <w:r>
        <w:rPr>
          <w:rFonts w:ascii="Courier New" w:cs="Courier New" w:eastAsia="Courier New" w:hAnsi="Courier New"/>
          <w:sz w:val="15"/>
          <w:szCs w:val="15"/>
        </w:rPr>
        <w:br/>
        <w:t xml:space="preserve">     10 member reports, not 13</w:t>
      </w:r>
      <w:r>
        <w:rPr>
          <w:rFonts w:ascii="Courier New" w:cs="Courier New" w:eastAsia="Courier New" w:hAnsi="Courier New"/>
          <w:sz w:val="15"/>
          <w:szCs w:val="15"/>
        </w:rPr>
        <w:br/>
        <w:t xml:space="preserve">     NO visit plan for any of the three, most importantly Jagdev, who carries real</w:t>
      </w:r>
      <w:r>
        <w:rPr>
          <w:rFonts w:ascii="Courier New" w:cs="Courier New" w:eastAsia="Courier New" w:hAnsi="Courier New"/>
          <w:sz w:val="15"/>
          <w:szCs w:val="15"/>
        </w:rPr>
        <w:br/>
        <w:t xml:space="preserve">       business (Rs 20,15,462 order booking, 87 retailers, 301 visits) and would</w:t>
      </w:r>
      <w:r>
        <w:rPr>
          <w:rFonts w:ascii="Courier New" w:cs="Courier New" w:eastAsia="Courier New" w:hAnsi="Courier New"/>
          <w:sz w:val="15"/>
          <w:szCs w:val="15"/>
        </w:rPr>
        <w:br/>
        <w:t xml:space="preserve">       otherwise look like an ordinary active member</w:t>
      </w:r>
      <w:r>
        <w:rPr>
          <w:rFonts w:ascii="Courier New" w:cs="Courier New" w:eastAsia="Courier New" w:hAnsi="Courier New"/>
          <w:sz w:val="15"/>
          <w:szCs w:val="15"/>
        </w:rPr>
        <w:br/>
        <w:t xml:space="preserve">     the three named somewhere in the State Head report as departed, with their</w:t>
      </w:r>
      <w:r>
        <w:rPr>
          <w:rFonts w:ascii="Courier New" w:cs="Courier New" w:eastAsia="Courier New" w:hAnsi="Courier New"/>
          <w:sz w:val="15"/>
          <w:szCs w:val="15"/>
        </w:rPr>
        <w:br/>
        <w:t xml:space="preserve">       historical business preserved rather than deleted</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3. VERIFY THE TEAM FIGURES against the active-member basis:</w:t>
      </w:r>
      <w:r>
        <w:rPr>
          <w:rFonts w:ascii="Courier New" w:cs="Courier New" w:eastAsia="Courier New" w:hAnsi="Courier New"/>
          <w:sz w:val="15"/>
          <w:szCs w:val="15"/>
        </w:rPr>
        <w:br/>
        <w:t xml:space="preserve">     order booking   Rs 2.35 Cr   (was Rs 2.56 Cr with all 13)</w:t>
      </w:r>
      <w:r>
        <w:rPr>
          <w:rFonts w:ascii="Courier New" w:cs="Courier New" w:eastAsia="Courier New" w:hAnsi="Courier New"/>
          <w:sz w:val="15"/>
          <w:szCs w:val="15"/>
        </w:rPr>
        <w:br/>
        <w:t xml:space="preserve">     sales received  Rs 2.41 Cr   (was Rs 2.59 Cr)</w:t>
      </w:r>
      <w:r>
        <w:rPr>
          <w:rFonts w:ascii="Courier New" w:cs="Courier New" w:eastAsia="Courier New" w:hAnsi="Courier New"/>
          <w:sz w:val="15"/>
          <w:szCs w:val="15"/>
        </w:rPr>
        <w:br/>
        <w:t xml:space="preserve">     target to date  Rs 4.03 Cr   (was Rs 4.96 Cr)</w:t>
      </w:r>
      <w:r>
        <w:rPr>
          <w:rFonts w:ascii="Courier New" w:cs="Courier New" w:eastAsia="Courier New" w:hAnsi="Courier New"/>
          <w:sz w:val="15"/>
          <w:szCs w:val="15"/>
        </w:rPr>
        <w:br/>
        <w:t xml:space="preserve">     achievement     58.4 per cent (was 51.7 per cent)</w:t>
      </w:r>
      <w:r>
        <w:rPr>
          <w:rFonts w:ascii="Courier New" w:cs="Courier New" w:eastAsia="Courier New" w:hAnsi="Courier New"/>
          <w:sz w:val="15"/>
          <w:szCs w:val="15"/>
        </w:rPr>
        <w:br/>
        <w:t xml:space="preserve">     visits          4,522        (was 5,281)</w:t>
      </w:r>
      <w:r>
        <w:rPr>
          <w:rFonts w:ascii="Courier New" w:cs="Courier New" w:eastAsia="Courier New" w:hAnsi="Courier New"/>
          <w:sz w:val="15"/>
          <w:szCs w:val="15"/>
        </w:rPr>
        <w:br/>
        <w:t xml:space="preserve">     retailers       748          (was 863)</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4. STATE THE REASON FOR THE ACHIEVEMENT MOVE. It rises 51.7 to 58.4 per cent purely</w:t>
      </w:r>
      <w:r>
        <w:rPr>
          <w:rFonts w:ascii="Courier New" w:cs="Courier New" w:eastAsia="Courier New" w:hAnsi="Courier New"/>
          <w:sz w:val="15"/>
          <w:szCs w:val="15"/>
        </w:rPr>
        <w:br/>
        <w:t xml:space="preserve">   because three departed members and their targets leave the current-period view.</w:t>
      </w:r>
      <w:r>
        <w:rPr>
          <w:rFonts w:ascii="Courier New" w:cs="Courier New" w:eastAsia="Courier New" w:hAnsi="Courier New"/>
          <w:sz w:val="15"/>
          <w:szCs w:val="15"/>
        </w:rPr>
        <w:br/>
        <w:t xml:space="preserve">   The State Head report must say so in words. A 6.7 point improvement that is not</w:t>
      </w:r>
      <w:r>
        <w:rPr>
          <w:rFonts w:ascii="Courier New" w:cs="Courier New" w:eastAsia="Courier New" w:hAnsi="Courier New"/>
          <w:sz w:val="15"/>
          <w:szCs w:val="15"/>
        </w:rPr>
        <w:br/>
        <w:t xml:space="preserve">   performance must never be presented as performance.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5. VERIFY THE PERIOD STAMPING from PA2 on the generated documents:</w:t>
      </w:r>
      <w:r>
        <w:rPr>
          <w:rFonts w:ascii="Courier New" w:cs="Courier New" w:eastAsia="Courier New" w:hAnsi="Courier New"/>
          <w:sz w:val="15"/>
          <w:szCs w:val="15"/>
        </w:rPr>
        <w:br/>
        <w:t xml:space="preserve">     every cover names the fiscal year, the period the figures cover, the data cutoff</w:t>
      </w:r>
      <w:r>
        <w:rPr>
          <w:rFonts w:ascii="Courier New" w:cs="Courier New" w:eastAsia="Courier New" w:hAnsi="Courier New"/>
          <w:sz w:val="15"/>
          <w:szCs w:val="15"/>
        </w:rPr>
        <w:br/>
        <w:t xml:space="preserve">       and the generation time</w:t>
      </w:r>
      <w:r>
        <w:rPr>
          <w:rFonts w:ascii="Courier New" w:cs="Courier New" w:eastAsia="Courier New" w:hAnsi="Courier New"/>
          <w:sz w:val="15"/>
          <w:szCs w:val="15"/>
        </w:rPr>
        <w:br/>
        <w:t xml:space="preserve">     every footer carries the same</w:t>
      </w:r>
      <w:r>
        <w:rPr>
          <w:rFonts w:ascii="Courier New" w:cs="Courier New" w:eastAsia="Courier New" w:hAnsi="Courier New"/>
          <w:sz w:val="15"/>
          <w:szCs w:val="15"/>
        </w:rPr>
        <w:br/>
        <w:t xml:space="preserve">     filenames and the batch folder carry the actual period covered</w:t>
      </w:r>
      <w:r>
        <w:rPr>
          <w:rFonts w:ascii="Courier New" w:cs="Courier New" w:eastAsia="Courier New" w:hAnsi="Courier New"/>
          <w:sz w:val="15"/>
          <w:szCs w:val="15"/>
        </w:rPr>
        <w:br/>
        <w:t xml:space="preserve">     with year-to-date selected and the cutoff at 30 June, no false mismatch banner</w:t>
      </w:r>
      <w:r>
        <w:rPr>
          <w:rFonts w:ascii="Courier New" w:cs="Courier New" w:eastAsia="Courier New" w:hAnsi="Courier New"/>
          <w:sz w:val="15"/>
          <w:szCs w:val="15"/>
        </w:rPr>
        <w:br/>
        <w:t xml:space="preserve">       appears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6. VERIFY THE PER-MEMBER ELAPSED MONTHS from column BD are used, not derived. Rahul</w:t>
      </w:r>
      <w:r>
        <w:rPr>
          <w:rFonts w:ascii="Courier New" w:cs="Courier New" w:eastAsia="Courier New" w:hAnsi="Courier New"/>
          <w:sz w:val="15"/>
          <w:szCs w:val="15"/>
        </w:rPr>
        <w:br/>
        <w:t xml:space="preserve">   Singh reads 0.47 - his target and any capacity figure must be pro-rated on that,</w:t>
      </w:r>
      <w:r>
        <w:rPr>
          <w:rFonts w:ascii="Courier New" w:cs="Courier New" w:eastAsia="Courier New" w:hAnsi="Courier New"/>
          <w:sz w:val="15"/>
          <w:szCs w:val="15"/>
        </w:rPr>
        <w:br/>
        <w:t xml:space="preserve">   not on three months.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7. SPOT-CHECK ONE MEMBER TO THE RUPEE. Prasun Chatterjee must reproduce: 73</w:t>
      </w:r>
      <w:r>
        <w:rPr>
          <w:rFonts w:ascii="Courier New" w:cs="Courier New" w:eastAsia="Courier New" w:hAnsi="Courier New"/>
          <w:sz w:val="15"/>
          <w:szCs w:val="15"/>
        </w:rPr>
        <w:br/>
        <w:t xml:space="preserve">   retailers, 34 active, order booking Rs 26,21,109, sales Rs 26,13,934, 395 visits</w:t>
      </w:r>
      <w:r>
        <w:rPr>
          <w:rFonts w:ascii="Courier New" w:cs="Courier New" w:eastAsia="Courier New" w:hAnsi="Courier New"/>
          <w:sz w:val="15"/>
          <w:szCs w:val="15"/>
        </w:rPr>
        <w:br/>
        <w:t xml:space="preserve">   against 1,704 required, top-5 share 64.0 per cent, effective retailers 9.9, cost</w:t>
      </w:r>
      <w:r>
        <w:rPr>
          <w:rFonts w:ascii="Courier New" w:cs="Courier New" w:eastAsia="Courier New" w:hAnsi="Courier New"/>
          <w:sz w:val="15"/>
          <w:szCs w:val="15"/>
        </w:rPr>
        <w:br/>
        <w:t xml:space="preserve">   ratio 5.94 per cent. If any of these has moved, the cause is either sheet drift or</w:t>
      </w:r>
      <w:r>
        <w:rPr>
          <w:rFonts w:ascii="Courier New" w:cs="Courier New" w:eastAsia="Courier New" w:hAnsi="Courier New"/>
          <w:sz w:val="15"/>
          <w:szCs w:val="15"/>
        </w:rPr>
        <w:br/>
        <w:t xml:space="preserve">   a regression - identify which before proceeding.</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Acceptance - report each with the produced value:</w:t>
      </w:r>
      <w:r>
        <w:rPr>
          <w:rFonts w:ascii="Courier New" w:cs="Courier New" w:eastAsia="Courier New" w:hAnsi="Courier New"/>
          <w:sz w:val="15"/>
          <w:szCs w:val="15"/>
        </w:rPr>
        <w:br/>
        <w:t xml:space="preserve">  the pack contains 10 member reports and 10 or fewer visit plans</w:t>
      </w:r>
      <w:r>
        <w:rPr>
          <w:rFonts w:ascii="Courier New" w:cs="Courier New" w:eastAsia="Courier New" w:hAnsi="Courier New"/>
          <w:sz w:val="15"/>
          <w:szCs w:val="15"/>
        </w:rPr>
        <w:br/>
        <w:t xml:space="preserve">  no visit plan exists for Jagdev, Shiv Kumar or Ravi Upadhyay</w:t>
      </w:r>
      <w:r>
        <w:rPr>
          <w:rFonts w:ascii="Courier New" w:cs="Courier New" w:eastAsia="Courier New" w:hAnsi="Courier New"/>
          <w:sz w:val="15"/>
          <w:szCs w:val="15"/>
        </w:rPr>
        <w:br/>
        <w:t xml:space="preserve">  team figures match the six values in item 3</w:t>
      </w:r>
      <w:r>
        <w:rPr>
          <w:rFonts w:ascii="Courier New" w:cs="Courier New" w:eastAsia="Courier New" w:hAnsi="Courier New"/>
          <w:sz w:val="15"/>
          <w:szCs w:val="15"/>
        </w:rPr>
        <w:br/>
        <w:t xml:space="preserve">  the State Head report states that the achievement move is organisational</w:t>
      </w:r>
      <w:r>
        <w:rPr>
          <w:rFonts w:ascii="Courier New" w:cs="Courier New" w:eastAsia="Courier New" w:hAnsi="Courier New"/>
          <w:sz w:val="15"/>
          <w:szCs w:val="15"/>
        </w:rPr>
        <w:br/>
        <w:t xml:space="preserve">  every document carries its period, cutoff and generation time</w:t>
      </w:r>
      <w:r>
        <w:rPr>
          <w:rFonts w:ascii="Courier New" w:cs="Courier New" w:eastAsia="Courier New" w:hAnsi="Courier New"/>
          <w:sz w:val="15"/>
          <w:szCs w:val="15"/>
        </w:rPr>
        <w:br/>
        <w:t xml:space="preserve">  no false mismatch banner with year-to-date selected</w:t>
      </w:r>
      <w:r>
        <w:rPr>
          <w:rFonts w:ascii="Courier New" w:cs="Courier New" w:eastAsia="Courier New" w:hAnsi="Courier New"/>
          <w:sz w:val="15"/>
          <w:szCs w:val="15"/>
        </w:rPr>
        <w:br/>
        <w:t xml:space="preserve">  Prasun's seven control values reproduce, or the deviation is explained</w:t>
      </w:r>
      <w:r>
        <w:rPr>
          <w:rFonts w:ascii="Courier New" w:cs="Courier New" w:eastAsia="Courier New" w:hAnsi="Courier New"/>
          <w:sz w:val="15"/>
          <w:szCs w:val="15"/>
        </w:rPr>
        <w:br/>
        <w:t xml:space="preserve">  nothing was changed except the periodMismatch comparison in item 0</w:t>
      </w:r>
    </w:p>
    <w:p>
      <w:pPr>
        <w:pStyle w:val="Heading1"/>
        <w:spacing w:after="100" w:before="240"/>
      </w:pPr>
      <w:r>
        <w:rPr>
          <w:b/>
          <w:bCs/>
        </w:rPr>
        <w:t xml:space="preserve">After PA3</w:t>
      </w:r>
    </w:p>
    <w:p>
      <w:pPr>
        <w:spacing w:after="100"/>
      </w:pPr>
      <w:r>
        <w:t xml:space="preserve">If it passes, the chain is proved end to end and the remaining page fixes can proceed with confidence - AI Analyst next, then Sales Deep Dive where the member sheets genuinely hold monthly data.</w:t>
      </w:r>
    </w:p>
    <w:p>
      <w:pPr>
        <w:spacing w:after="100"/>
      </w:pPr>
      <w:r>
        <w:t xml:space="preserve">If it fails, it fails on known figures with a known-good reference, which is the cheapest possible place to find a regression.</w:t>
      </w:r>
    </w:p>
    <w:p>
      <w:pPr>
        <w:pStyle w:val="Heading2"/>
        <w:spacing w:after="65" w:before="180"/>
      </w:pPr>
      <w:r>
        <w:rPr>
          <w:b/>
          <w:bCs/>
        </w:rPr>
        <w:t xml:space="preserve">Still open, and not for the agent</w:t>
      </w:r>
    </w:p>
    <w:p>
      <w:pPr>
        <w:spacing w:after="40"/>
        <w:ind w:left="360"/>
      </w:pPr>
      <w:r>
        <w:t xml:space="preserve">- Sales People - should selecting April slice the progression table or emphasise April within it? A product decision.</w:t>
      </w:r>
    </w:p>
    <w:p>
      <w:pPr>
        <w:spacing w:after="40"/>
        <w:ind w:left="360"/>
      </w:pPr>
      <w:r>
        <w:t xml:space="preserve">- Distributor Deep Dive - the primary side can slice monthly, the secondary cannot. It must declare both on one screen.</w:t>
      </w:r>
    </w:p>
    <w:p>
      <w:pPr>
        <w:spacing w:after="40"/>
        <w:ind w:left="360"/>
      </w:pPr>
      <w:r>
        <w:t xml:space="preserve">- The #REF! repair in the secondary tab TOTAL row. Eight formula cells at source would turn a row-completeness check into a genuine totals cross-check on order booking and sales.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PA3 end-to-end verification</dc:title>
  <dc:creator>Prayag AI Team</dc:creator>
  <cp:lastModifiedBy>Un-named</cp:lastModifiedBy>
  <cp:revision>1</cp:revision>
  <dcterms:created xsi:type="dcterms:W3CDTF">2026-07-28T04:45:01.606Z</dcterms:created>
  <dcterms:modified xsi:type="dcterms:W3CDTF">2026-07-28T04:45:01.621Z</dcterms:modified>
</cp:coreProperties>
</file>

<file path=docProps/custom.xml><?xml version="1.0" encoding="utf-8"?>
<Properties xmlns="http://schemas.openxmlformats.org/officeDocument/2006/custom-properties" xmlns:vt="http://schemas.openxmlformats.org/officeDocument/2006/docPropsVTypes"/>
</file>