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Prompt 63 — August SKU Frozen Empty and Alert Delivery</w:t>
      </w:r>
    </w:p>
    <w:p>
      <w:pPr>
        <w:jc w:val="center"/>
      </w:pPr>
      <w:r>
        <w:rPr>
          <w:i/>
          <w:color w:val="5A5A5A"/>
        </w:rPr>
        <w:t>Read-only production audit • 8 September 2026</w:t>
      </w:r>
    </w:p>
    <w:p>
      <w:pPr>
        <w:jc w:val="center"/>
      </w:pPr>
      <w:r>
        <w:rPr>
          <w:b/>
          <w:color w:val="00703C"/>
          <w:sz w:val="24"/>
        </w:rPr>
        <w:t>URGENT RESULT: NO AUGUST-TRIGGERED B3 WAVE</w:t>
      </w:r>
    </w:p>
    <w:p>
      <w:pPr>
        <w:pStyle w:val="Heading1"/>
      </w:pPr>
      <w:r>
        <w:t>Executive findings</w:t>
      </w:r>
    </w:p>
    <w:p>
      <w:pPr>
        <w:pStyle w:val="ListBullet"/>
      </w:pPr>
      <w:r>
        <w:t>Production DB: Aug-26 has 0 secondary_sku_line rows and ₹0; secondary_register_line also has 0 rows and ₹0.</w:t>
      </w:r>
    </w:p>
    <w:p>
      <w:pPr>
        <w:pStyle w:val="ListBullet"/>
      </w:pPr>
      <w:r>
        <w:t>Production DB: no secondary_sku_month_state or provenance row exists for Aug-26. It is calendar-closed, not anchored at zero.</w:t>
      </w:r>
    </w:p>
    <w:p>
      <w:pPr>
        <w:pStyle w:val="ListBullet"/>
      </w:pPr>
      <w:r>
        <w:t>Production DB: no alert of any category was first raised at or after 7 Sep 2026 00:00 UTC. B3 did not fire from the empty month.</w:t>
      </w:r>
    </w:p>
    <w:p>
      <w:pPr>
        <w:pStyle w:val="ListBullet"/>
      </w:pPr>
      <w:r>
        <w:t>Production DB: 262 email delivery rows have failed and 262 WhatsApp rows are pending.</w:t>
      </w:r>
    </w:p>
    <w:p>
      <w:pPr>
        <w:pStyle w:val="ListBullet"/>
      </w:pPr>
      <w:r>
        <w:t>Production DB: only 2 A1 alerts remain open, totalling ₹3,484,926.49; 10 A1 alerts are cleared.</w:t>
      </w:r>
    </w:p>
    <w:p>
      <w:pPr>
        <w:pStyle w:val="ListBullet"/>
      </w:pPr>
      <w:r>
        <w:t>Current reconstructed payload: 139 NEW and 13 CLEARED alerts. Only the two all-India recipients match it.</w:t>
      </w:r>
    </w:p>
    <w:p>
      <w:pPr>
        <w:pStyle w:val="Heading1"/>
      </w:pPr>
      <w:r>
        <w:t>Section A — August SKU damage</w:t>
      </w:r>
    </w:p>
    <w:p>
      <w:pPr>
        <w:pStyle w:val="Heading2"/>
      </w:pPr>
      <w:r>
        <w:t>A1–A2. State and anchor status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Dataset</w:t>
            </w:r>
          </w:p>
        </w:tc>
        <w:tc>
          <w:tcPr>
            <w:tcW w:type="dxa" w:w="3408"/>
            <w:shd w:fill="D9EAF7"/>
          </w:tcPr>
          <w:p>
            <w:r>
              <w:rPr>
                <w:b/>
              </w:rPr>
              <w:t>Aug-26 rows/value</w:t>
            </w:r>
          </w:p>
        </w:tc>
        <w:tc>
          <w:tcPr>
            <w:tcW w:type="dxa" w:w="3408"/>
            <w:shd w:fill="D9EAF7"/>
          </w:tcPr>
          <w:p>
            <w:r>
              <w:rPr>
                <w:b/>
              </w:rPr>
              <w:t>Freeze state</w:t>
            </w:r>
          </w:p>
        </w:tc>
      </w:tr>
      <w:tr>
        <w:tc>
          <w:tcPr>
            <w:tcW w:type="dxa" w:w="3408"/>
          </w:tcPr>
          <w:p>
            <w:r>
              <w:t>secondary_sku_line</w:t>
            </w:r>
          </w:p>
        </w:tc>
        <w:tc>
          <w:tcPr>
            <w:tcW w:type="dxa" w:w="3408"/>
          </w:tcPr>
          <w:p>
            <w:r>
              <w:t>0 / ₹0</w:t>
            </w:r>
          </w:p>
        </w:tc>
        <w:tc>
          <w:tcPr>
            <w:tcW w:type="dxa" w:w="3408"/>
          </w:tcPr>
          <w:p>
            <w:r>
              <w:t>No secondary state row; calendar-closed, unanchored</w:t>
            </w:r>
          </w:p>
        </w:tc>
      </w:tr>
      <w:tr>
        <w:tc>
          <w:tcPr>
            <w:tcW w:type="dxa" w:w="3408"/>
          </w:tcPr>
          <w:p>
            <w:r>
              <w:t>secondary_register_line</w:t>
            </w:r>
          </w:p>
        </w:tc>
        <w:tc>
          <w:tcPr>
            <w:tcW w:type="dxa" w:w="3408"/>
          </w:tcPr>
          <w:p>
            <w:r>
              <w:t>0 / ₹0</w:t>
            </w:r>
          </w:p>
        </w:tc>
        <w:tc>
          <w:tcPr>
            <w:tcW w:type="dxa" w:w="3408"/>
          </w:tcPr>
          <w:p>
            <w:r>
              <w:t>No dataset-specific state row or anchor</w:t>
            </w:r>
          </w:p>
        </w:tc>
      </w:tr>
      <w:tr>
        <w:tc>
          <w:tcPr>
            <w:tcW w:type="dxa" w:w="3408"/>
          </w:tcPr>
          <w:p>
            <w:r>
              <w:t>Primary register state</w:t>
            </w:r>
          </w:p>
        </w:tc>
        <w:tc>
          <w:tcPr>
            <w:tcW w:type="dxa" w:w="3408"/>
          </w:tcPr>
          <w:p>
            <w:r>
              <w:t>12,878 / ₹304,228,618.69</w:t>
            </w:r>
          </w:p>
        </w:tc>
        <w:tc>
          <w:tcPr>
            <w:tcW w:type="dxa" w:w="3408"/>
          </w:tcPr>
          <w:p>
            <w:r>
              <w:t>Frozen 7 Sep 2026 00:00 UTC; separate dataset</w:t>
            </w:r>
          </w:p>
        </w:tc>
      </w:tr>
    </w:tbl>
    <w:p/>
    <w:p>
      <w:r>
        <w:t>Conclusion: August SKU is in the trapped state described in the prompt. The lock is enforced by the calendar even though no secondary anchor was persisted.</w:t>
      </w:r>
    </w:p>
    <w:p>
      <w:pPr>
        <w:pStyle w:val="Heading2"/>
      </w:pPr>
      <w:r>
        <w:t>A3. Current surface output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Surface</w:t>
            </w:r>
          </w:p>
        </w:tc>
        <w:tc>
          <w:tcPr>
            <w:tcW w:type="dxa" w:w="5112"/>
            <w:shd w:fill="D9EAF7"/>
          </w:tcPr>
          <w:p>
            <w:r>
              <w:rPr>
                <w:b/>
              </w:rPr>
              <w:t>What Aug-26 currently shows</w:t>
            </w:r>
          </w:p>
        </w:tc>
      </w:tr>
      <w:tr>
        <w:tc>
          <w:tcPr>
            <w:tcW w:type="dxa" w:w="5112"/>
          </w:tcPr>
          <w:p>
            <w:r>
              <w:t>SKU Deep Dive</w:t>
            </w:r>
          </w:p>
        </w:tc>
        <w:tc>
          <w:tcPr>
            <w:tcW w:type="dxa" w:w="5112"/>
          </w:tcPr>
          <w:p>
            <w:r>
              <w:t>No Aug measurement / zero raw rows</w:t>
            </w:r>
          </w:p>
        </w:tc>
      </w:tr>
      <w:tr>
        <w:tc>
          <w:tcPr>
            <w:tcW w:type="dxa" w:w="5112"/>
          </w:tcPr>
          <w:p>
            <w:r>
              <w:t>Breadth trajectory</w:t>
            </w:r>
          </w:p>
        </w:tc>
        <w:tc>
          <w:tcPr>
            <w:tcW w:type="dxa" w:w="5112"/>
          </w:tcPr>
          <w:p>
            <w:r>
              <w:t>No Aug point</w:t>
            </w:r>
          </w:p>
        </w:tc>
      </w:tr>
      <w:tr>
        <w:tc>
          <w:tcPr>
            <w:tcW w:type="dxa" w:w="5112"/>
          </w:tcPr>
          <w:p>
            <w:r>
              <w:t>Push list</w:t>
            </w:r>
          </w:p>
        </w:tc>
        <w:tc>
          <w:tcPr>
            <w:tcW w:type="dxa" w:w="5112"/>
          </w:tcPr>
          <w:p>
            <w:r>
              <w:t>No Aug evidence</w:t>
            </w:r>
          </w:p>
        </w:tc>
      </w:tr>
      <w:tr>
        <w:tc>
          <w:tcPr>
            <w:tcW w:type="dxa" w:w="5112"/>
          </w:tcPr>
          <w:p>
            <w:r>
              <w:t>Red Alert B3 retailer branch</w:t>
            </w:r>
          </w:p>
        </w:tc>
        <w:tc>
          <w:tcPr>
            <w:tcW w:type="dxa" w:w="5112"/>
          </w:tcPr>
          <w:p>
            <w:r>
              <w:t>No Aug-triggered B3 alerts</w:t>
            </w:r>
          </w:p>
        </w:tc>
      </w:tr>
      <w:tr>
        <w:tc>
          <w:tcPr>
            <w:tcW w:type="dxa" w:w="5112"/>
          </w:tcPr>
          <w:p>
            <w:r>
              <w:t>AI Growth activation</w:t>
            </w:r>
          </w:p>
        </w:tc>
        <w:tc>
          <w:tcPr>
            <w:tcW w:type="dxa" w:w="5112"/>
          </w:tcPr>
          <w:p>
            <w:r>
              <w:t>Aug SKU evidence unavailable</w:t>
            </w:r>
          </w:p>
        </w:tc>
      </w:tr>
    </w:tbl>
    <w:p/>
    <w:p>
      <w:r>
        <w:t>The important distinction is unavailable/absent data versus a measured business zero. Red Alert correctly makes that distinction; other SKU surfaces have no August evidence to display.</w:t>
      </w:r>
    </w:p>
    <w:p>
      <w:pPr>
        <w:pStyle w:val="Heading2"/>
      </w:pPr>
      <w:r>
        <w:t>A4. Has B3 fired?</w:t>
      </w:r>
    </w:p>
    <w:p>
      <w:r>
        <w:rPr>
          <w:b/>
        </w:rPr>
        <w:t xml:space="preserve">No. </w:t>
      </w:r>
      <w:r>
        <w:t>Production alert first_seen_at returned zero rows for every category since the freeze instant. The 7 existing B3 alerts were first raised on 16 August and cover Apr-26..Jul-26; none is an August-empty-month alert.</w:t>
      </w:r>
    </w:p>
    <w:p>
      <w:pPr>
        <w:pStyle w:val="Heading2"/>
      </w:pPr>
      <w:r>
        <w:t>A5. Frozen-drift repair path</w:t>
      </w:r>
    </w:p>
    <w:p>
      <w:r>
        <w:t>The Prompt 62 controlled frozen-drift/anchoring path applies to the primary register. The Product-Wise SKU loader permanently rejects Aug-26 after the 7 September lock and exposes no frozen-month override. If the export arrives next week, there is currently no approved route that can load it into secondary_sku_line. Recovery would require a separately reviewed code change introducing an explicit, logged, provenance-preserving exceptional override. No such change was made.</w:t>
      </w:r>
    </w:p>
    <w:p>
      <w:pPr>
        <w:pStyle w:val="Heading2"/>
      </w:pPr>
      <w:r>
        <w:t>A6. Other zero-frozen months</w:t>
      </w:r>
    </w:p>
    <w:p>
      <w:pPr>
        <w:pStyle w:val="ListBullet"/>
      </w:pPr>
      <w:r>
        <w:t>secondary_sku_line: only FY2026–27 Aug-26 is frozen and empty.</w:t>
      </w:r>
    </w:p>
    <w:p>
      <w:pPr>
        <w:pStyle w:val="ListBullet"/>
      </w:pPr>
      <w:r>
        <w:t>secondary_register_line has no own month-state anchor. Relative to primary register frozen months, FY2026–27 Apr, May, Jun and Aug have zero rows. This is a coverage gap, not four persisted secondary zero anchors.</w:t>
      </w:r>
    </w:p>
    <w:p>
      <w:pPr>
        <w:pStyle w:val="Heading1"/>
      </w:pPr>
      <w:r>
        <w:t>Section B — Alert delivery decision</w:t>
      </w:r>
    </w:p>
    <w:p>
      <w:pPr>
        <w:pStyle w:val="Heading2"/>
      </w:pPr>
      <w:r>
        <w:t>B1. Current provider and attempt state</w:t>
      </w:r>
    </w:p>
    <w:p>
      <w:pPr>
        <w:pStyle w:val="ListBullet"/>
      </w:pPr>
      <w:r>
        <w:t>Production environment: RESEND_API_KEY is unset; SMTP_HOST is unset. Related Resend/SMTP variables checked are also absent.</w:t>
      </w:r>
    </w:p>
    <w:p>
      <w:pPr>
        <w:pStyle w:val="ListBullet"/>
      </w:pPr>
      <w:r>
        <w:t>17, 24 and 31 August: 110 failed email rows and 110 pending WhatsApp rows, matching the prompt.</w:t>
      </w:r>
    </w:p>
    <w:p>
      <w:pPr>
        <w:pStyle w:val="ListBullet"/>
      </w:pPr>
      <w:r>
        <w:t>7 September: 152 additional failed email rows and 152 additional pending WhatsApp rows.</w:t>
      </w:r>
    </w:p>
    <w:p>
      <w:pPr>
        <w:pStyle w:val="ListBullet"/>
      </w:pPr>
      <w:r>
        <w:t>Cumulative: 262 failed email rows and 262 pending WhatsApp rows. Zero successful weekly digest rows.</w:t>
      </w:r>
    </w:p>
    <w:p>
      <w:pPr>
        <w:pStyle w:val="Heading2"/>
      </w:pPr>
      <w:r>
        <w:t>B2. Exact next payload before credentials</w:t>
      </w:r>
    </w:p>
    <w:p>
      <w:r>
        <w:t>As currently stored, and assuming no alert state changes before the run, the next digest classifies all 139 open alerts as NEW and all 13 cleared alerts as CLEARED because no successful prior digest timestamp exists.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Section/code</w:t>
            </w:r>
          </w:p>
        </w:tc>
        <w:tc>
          <w:tcPr>
            <w:tcW w:type="dxa" w:w="3408"/>
            <w:shd w:fill="D9EAF7"/>
          </w:tcPr>
          <w:p>
            <w:r>
              <w:rPr>
                <w:b/>
              </w:rPr>
              <w:t>Count</w:t>
            </w:r>
          </w:p>
        </w:tc>
        <w:tc>
          <w:tcPr>
            <w:tcW w:type="dxa" w:w="3408"/>
            <w:shd w:fill="D9EAF7"/>
          </w:tcPr>
          <w:p>
            <w:r>
              <w:rPr>
                <w:b/>
              </w:rPr>
              <w:t>₹ at stake</w:t>
            </w:r>
          </w:p>
        </w:tc>
      </w:tr>
      <w:tr>
        <w:tc>
          <w:tcPr>
            <w:tcW w:type="dxa" w:w="3408"/>
          </w:tcPr>
          <w:p>
            <w:r>
              <w:t>NEW A1</w:t>
            </w:r>
          </w:p>
        </w:tc>
        <w:tc>
          <w:tcPr>
            <w:tcW w:type="dxa" w:w="3408"/>
          </w:tcPr>
          <w:p>
            <w:r>
              <w:t>2</w:t>
            </w:r>
          </w:p>
        </w:tc>
        <w:tc>
          <w:tcPr>
            <w:tcW w:type="dxa" w:w="3408"/>
          </w:tcPr>
          <w:p>
            <w:r>
              <w:t>₹3,484,926.49</w:t>
            </w:r>
          </w:p>
        </w:tc>
      </w:tr>
      <w:tr>
        <w:tc>
          <w:tcPr>
            <w:tcW w:type="dxa" w:w="3408"/>
          </w:tcPr>
          <w:p>
            <w:r>
              <w:t>NEW A2</w:t>
            </w:r>
          </w:p>
        </w:tc>
        <w:tc>
          <w:tcPr>
            <w:tcW w:type="dxa" w:w="3408"/>
          </w:tcPr>
          <w:p>
            <w:r>
              <w:t>125</w:t>
            </w:r>
          </w:p>
        </w:tc>
        <w:tc>
          <w:tcPr>
            <w:tcW w:type="dxa" w:w="3408"/>
          </w:tcPr>
          <w:p>
            <w:r>
              <w:t>₹259,705,334.86</w:t>
            </w:r>
          </w:p>
        </w:tc>
      </w:tr>
      <w:tr>
        <w:tc>
          <w:tcPr>
            <w:tcW w:type="dxa" w:w="3408"/>
          </w:tcPr>
          <w:p>
            <w:r>
              <w:t>NEW A3</w:t>
            </w:r>
          </w:p>
        </w:tc>
        <w:tc>
          <w:tcPr>
            <w:tcW w:type="dxa" w:w="3408"/>
          </w:tcPr>
          <w:p>
            <w:r>
              <w:t>1</w:t>
            </w:r>
          </w:p>
        </w:tc>
        <w:tc>
          <w:tcPr>
            <w:tcW w:type="dxa" w:w="3408"/>
          </w:tcPr>
          <w:p>
            <w:r>
              <w:t>₹445,000.00</w:t>
            </w:r>
          </w:p>
        </w:tc>
      </w:tr>
      <w:tr>
        <w:tc>
          <w:tcPr>
            <w:tcW w:type="dxa" w:w="3408"/>
          </w:tcPr>
          <w:p>
            <w:r>
              <w:t>NEW B3</w:t>
            </w:r>
          </w:p>
        </w:tc>
        <w:tc>
          <w:tcPr>
            <w:tcW w:type="dxa" w:w="3408"/>
          </w:tcPr>
          <w:p>
            <w:r>
              <w:t>7</w:t>
            </w:r>
          </w:p>
        </w:tc>
        <w:tc>
          <w:tcPr>
            <w:tcW w:type="dxa" w:w="3408"/>
          </w:tcPr>
          <w:p>
            <w:r>
              <w:t>₹77,086,771.00</w:t>
            </w:r>
          </w:p>
        </w:tc>
      </w:tr>
      <w:tr>
        <w:tc>
          <w:tcPr>
            <w:tcW w:type="dxa" w:w="3408"/>
          </w:tcPr>
          <w:p>
            <w:r>
              <w:t>NEW S1</w:t>
            </w:r>
          </w:p>
        </w:tc>
        <w:tc>
          <w:tcPr>
            <w:tcW w:type="dxa" w:w="3408"/>
          </w:tcPr>
          <w:p>
            <w:r>
              <w:t>4</w:t>
            </w:r>
          </w:p>
        </w:tc>
        <w:tc>
          <w:tcPr>
            <w:tcW w:type="dxa" w:w="3408"/>
          </w:tcPr>
          <w:p>
            <w:r>
              <w:t>₹2,805,079.00</w:t>
            </w:r>
          </w:p>
        </w:tc>
      </w:tr>
      <w:tr>
        <w:tc>
          <w:tcPr>
            <w:tcW w:type="dxa" w:w="3408"/>
          </w:tcPr>
          <w:p>
            <w:r>
              <w:t>CLEARED A1</w:t>
            </w:r>
          </w:p>
        </w:tc>
        <w:tc>
          <w:tcPr>
            <w:tcW w:type="dxa" w:w="3408"/>
          </w:tcPr>
          <w:p>
            <w:r>
              <w:t>10</w:t>
            </w:r>
          </w:p>
        </w:tc>
        <w:tc>
          <w:tcPr>
            <w:tcW w:type="dxa" w:w="3408"/>
          </w:tcPr>
          <w:p>
            <w:r>
              <w:t>₹39,783,804.05</w:t>
            </w:r>
          </w:p>
        </w:tc>
      </w:tr>
      <w:tr>
        <w:tc>
          <w:tcPr>
            <w:tcW w:type="dxa" w:w="3408"/>
          </w:tcPr>
          <w:p>
            <w:r>
              <w:t>CLEARED A2</w:t>
            </w:r>
          </w:p>
        </w:tc>
        <w:tc>
          <w:tcPr>
            <w:tcW w:type="dxa" w:w="3408"/>
          </w:tcPr>
          <w:p>
            <w:r>
              <w:t>3</w:t>
            </w:r>
          </w:p>
        </w:tc>
        <w:tc>
          <w:tcPr>
            <w:tcW w:type="dxa" w:w="3408"/>
          </w:tcPr>
          <w:p>
            <w:r>
              <w:t>₹1,033,400.00</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Recipient</w:t>
            </w:r>
          </w:p>
        </w:tc>
        <w:tc>
          <w:tcPr>
            <w:tcW w:type="dxa" w:w="3408"/>
            <w:shd w:fill="D9EAF7"/>
          </w:tcPr>
          <w:p>
            <w:r>
              <w:rPr>
                <w:b/>
              </w:rPr>
              <w:t>Channel</w:t>
            </w:r>
          </w:p>
        </w:tc>
        <w:tc>
          <w:tcPr>
            <w:tcW w:type="dxa" w:w="3408"/>
            <w:shd w:fill="D9EAF7"/>
          </w:tcPr>
          <w:p>
            <w:r>
              <w:rPr>
                <w:b/>
              </w:rPr>
              <w:t>Payload</w:t>
            </w:r>
          </w:p>
        </w:tc>
      </w:tr>
      <w:tr>
        <w:tc>
          <w:tcPr>
            <w:tcW w:type="dxa" w:w="3408"/>
          </w:tcPr>
          <w:p>
            <w:r>
              <w:t>Deepak J</w:t>
            </w:r>
          </w:p>
        </w:tc>
        <w:tc>
          <w:tcPr>
            <w:tcW w:type="dxa" w:w="3408"/>
          </w:tcPr>
          <w:p>
            <w:r>
              <w:t>WhatsApp</w:t>
            </w:r>
          </w:p>
        </w:tc>
        <w:tc>
          <w:tcPr>
            <w:tcW w:type="dxa" w:w="3408"/>
          </w:tcPr>
          <w:p>
            <w:r>
              <w:t>All 152 alerts; current channel remains pending</w:t>
            </w:r>
          </w:p>
        </w:tc>
      </w:tr>
      <w:tr>
        <w:tc>
          <w:tcPr>
            <w:tcW w:type="dxa" w:w="3408"/>
          </w:tcPr>
          <w:p>
            <w:r>
              <w:t>Nitin Agarwal</w:t>
            </w:r>
          </w:p>
        </w:tc>
        <w:tc>
          <w:tcPr>
            <w:tcW w:type="dxa" w:w="3408"/>
          </w:tcPr>
          <w:p>
            <w:r>
              <w:t>Email</w:t>
            </w:r>
          </w:p>
        </w:tc>
        <w:tc>
          <w:tcPr>
            <w:tcW w:type="dxa" w:w="3408"/>
          </w:tcPr>
          <w:p>
            <w:r>
              <w:t>All 152 alerts; one digest can send after provider configuration</w:t>
            </w:r>
          </w:p>
        </w:tc>
      </w:tr>
      <w:tr>
        <w:tc>
          <w:tcPr>
            <w:tcW w:type="dxa" w:w="3408"/>
          </w:tcPr>
          <w:p>
            <w:r>
              <w:t>12 state-head recipients</w:t>
            </w:r>
          </w:p>
        </w:tc>
        <w:tc>
          <w:tcPr>
            <w:tcW w:type="dxa" w:w="3408"/>
          </w:tcPr>
          <w:p>
            <w:r>
              <w:t>WhatsApp</w:t>
            </w:r>
          </w:p>
        </w:tc>
        <w:tc>
          <w:tcPr>
            <w:tcW w:type="dxa" w:w="3408"/>
          </w:tcPr>
          <w:p>
            <w:r>
              <w:t>0 alerts; skipped because scope resolves to no state head</w:t>
            </w:r>
          </w:p>
        </w:tc>
      </w:tr>
    </w:tbl>
    <w:p/>
    <w:p>
      <w:r>
        <w:t>The complete 152-alert line list, with category, entity, period, stake and timestamps, is supplied in the accompanying Excel workbook. It is identical for the two all-India recipients.</w:t>
      </w:r>
    </w:p>
    <w:p>
      <w:r>
        <w:t>Additional routing defect: person/member alerts first try person_registry by entity_key. The current alert keys do not resolve there, and the code does not fall back to detail.extraForReport.stateHead for person/member alerts. Non-person B3/S1 records also currently carry no resolvable state head. Therefore all 12 state-head weekly routes match zero alerts.</w:t>
      </w:r>
    </w:p>
    <w:p>
      <w:pPr>
        <w:pStyle w:val="Heading2"/>
      </w:pPr>
      <w:r>
        <w:t>B3. A1 currentness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rPr>
              <w:t>Entity</w:t>
            </w:r>
          </w:p>
        </w:tc>
        <w:tc>
          <w:tcPr>
            <w:tcW w:type="dxa" w:w="2045"/>
            <w:shd w:fill="D9EAF7"/>
          </w:tcPr>
          <w:p>
            <w:r>
              <w:rPr>
                <w:b/>
              </w:rPr>
              <w:t>Period</w:t>
            </w:r>
          </w:p>
        </w:tc>
        <w:tc>
          <w:tcPr>
            <w:tcW w:type="dxa" w:w="2045"/>
            <w:shd w:fill="D9EAF7"/>
          </w:tcPr>
          <w:p>
            <w:r>
              <w:rPr>
                <w:b/>
              </w:rPr>
              <w:t>Status</w:t>
            </w:r>
          </w:p>
        </w:tc>
        <w:tc>
          <w:tcPr>
            <w:tcW w:type="dxa" w:w="2045"/>
            <w:shd w:fill="D9EAF7"/>
          </w:tcPr>
          <w:p>
            <w:r>
              <w:rPr>
                <w:b/>
              </w:rPr>
              <w:t>₹ at stake</w:t>
            </w:r>
          </w:p>
        </w:tc>
        <w:tc>
          <w:tcPr>
            <w:tcW w:type="dxa" w:w="2045"/>
            <w:shd w:fill="D9EAF7"/>
          </w:tcPr>
          <w:p>
            <w:r>
              <w:rPr>
                <w:b/>
              </w:rPr>
              <w:t>Assessment</w:t>
            </w:r>
          </w:p>
        </w:tc>
      </w:tr>
      <w:tr>
        <w:tc>
          <w:tcPr>
            <w:tcW w:type="dxa" w:w="2045"/>
          </w:tcPr>
          <w:p>
            <w:r>
              <w:t>jijo</w:t>
            </w:r>
          </w:p>
        </w:tc>
        <w:tc>
          <w:tcPr>
            <w:tcW w:type="dxa" w:w="2045"/>
          </w:tcPr>
          <w:p>
            <w:r>
              <w:t>Apr–May 2026</w:t>
            </w:r>
          </w:p>
        </w:tc>
        <w:tc>
          <w:tcPr>
            <w:tcW w:type="dxa" w:w="2045"/>
          </w:tcPr>
          <w:p>
            <w:r>
              <w:t>Open; refreshed 8 Sep</w:t>
            </w:r>
          </w:p>
        </w:tc>
        <w:tc>
          <w:tcPr>
            <w:tcW w:type="dxa" w:w="2045"/>
          </w:tcPr>
          <w:p>
            <w:r>
              <w:t>₹2,347,818.76</w:t>
            </w:r>
          </w:p>
        </w:tc>
        <w:tc>
          <w:tcPr>
            <w:tcW w:type="dxa" w:w="2045"/>
          </w:tcPr>
          <w:p>
            <w:r>
              <w:t>Detector-current, but evidence ends May and identity/state-head resolution fails</w:t>
            </w:r>
          </w:p>
        </w:tc>
      </w:tr>
      <w:tr>
        <w:tc>
          <w:tcPr>
            <w:tcW w:type="dxa" w:w="2045"/>
          </w:tcPr>
          <w:p>
            <w:r>
              <w:t>milindashoksadanand</w:t>
            </w:r>
          </w:p>
        </w:tc>
        <w:tc>
          <w:tcPr>
            <w:tcW w:type="dxa" w:w="2045"/>
          </w:tcPr>
          <w:p>
            <w:r>
              <w:t>Apr–May 2026</w:t>
            </w:r>
          </w:p>
        </w:tc>
        <w:tc>
          <w:tcPr>
            <w:tcW w:type="dxa" w:w="2045"/>
          </w:tcPr>
          <w:p>
            <w:r>
              <w:t>Open; refreshed 8 Sep</w:t>
            </w:r>
          </w:p>
        </w:tc>
        <w:tc>
          <w:tcPr>
            <w:tcW w:type="dxa" w:w="2045"/>
          </w:tcPr>
          <w:p>
            <w:r>
              <w:t>₹1,137,107.73</w:t>
            </w:r>
          </w:p>
        </w:tc>
        <w:tc>
          <w:tcPr>
            <w:tcW w:type="dxa" w:w="2045"/>
          </w:tcPr>
          <w:p>
            <w:r>
              <w:t>Detector-current, but evidence ends May and identity/state-head resolution fails</w:t>
            </w:r>
          </w:p>
        </w:tc>
      </w:tr>
    </w:tbl>
    <w:p/>
    <w:p>
      <w:r>
        <w:t>Conclusion: these two alerts are still emitted by the latest detection and pass the stored guards, but a recipient today would receive April–May evidence with no June–August update. They are not safe to describe as current actionable state-head messages without refreshing the analytical window and fixing identity/scope resolution. The prompt’s ten-open-A1 statement is no longer current: those ten are cleared in production.</w:t>
      </w:r>
    </w:p>
    <w:p>
      <w:pPr>
        <w:pStyle w:val="Heading2"/>
      </w:pPr>
      <w:r>
        <w:t>B4. Smallest safe first step</w:t>
      </w:r>
    </w:p>
    <w:p>
      <w:pPr>
        <w:pStyle w:val="ListBullet"/>
      </w:pPr>
      <w:r>
        <w:t>Do not configure a production provider while the current all-India payload still contains 125 open A2 alerts and routing cannot scope state heads.</w:t>
      </w:r>
    </w:p>
    <w:p>
      <w:pPr>
        <w:pStyle w:val="ListBullet"/>
      </w:pPr>
      <w:r>
        <w:t>First produce and approve a static payload snapshot—the accompanying workbook is that snapshot.</w:t>
      </w:r>
    </w:p>
    <w:p>
      <w:pPr>
        <w:pStyle w:val="ListBullet"/>
      </w:pPr>
      <w:r>
        <w:t>When explicitly approved, configure email only and route one digest cycle to one internal test recipient, not the CEO and not any state-head route.</w:t>
      </w:r>
    </w:p>
    <w:p>
      <w:pPr>
        <w:pStyle w:val="ListBullet"/>
      </w:pPr>
      <w:r>
        <w:t>Use a recipient-specific send only; do not invoke digest/all or alert detection. Verify exactly one external email and its delivery rows before expanding.</w:t>
      </w:r>
    </w:p>
    <w:p>
      <w:pPr>
        <w:pStyle w:val="ListBullet"/>
      </w:pPr>
      <w:r>
        <w:t>Keep WhatsApp disabled until provider behavior, recipient scope, and acknowledgement flow have been verified.</w:t>
      </w:r>
    </w:p>
    <w:p>
      <w:pPr>
        <w:pStyle w:val="Heading1"/>
      </w:pPr>
      <w:r>
        <w:t>Read-only assurance</w:t>
      </w:r>
    </w:p>
    <w:p>
      <w:r>
        <w:t>No data was loaded, unfrozen, detected, acknowledged, routed, sent, or changed. No credentials or environment variables were set. The digest endpoint was not called because its dry-run mode still writes alert_delivery records.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Prompt 63 read-only production audit — 8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