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Urgent Read-Only Production Incident Report</w:t>
      </w:r>
    </w:p>
    <w:p>
      <w:pPr>
        <w:jc w:val="center"/>
      </w:pPr>
      <w:r>
        <w:rPr>
          <w:b/>
          <w:color w:val="44546A"/>
        </w:rPr>
        <w:t>Prayag Sales Intelligence • 7 September 2026</w:t>
      </w:r>
    </w:p>
    <w:p>
      <w:pPr>
        <w:jc w:val="center"/>
      </w:pPr>
      <w:r>
        <w:rPr>
          <w:i/>
        </w:rPr>
        <w:t>Evidence captured after an unintended publish. No repair, migration, restart, or additional publish was performed during this audit.</w:t>
      </w:r>
    </w:p>
    <w:p>
      <w:pPr>
        <w:pStyle w:val="Heading1"/>
      </w:pPr>
      <w:r>
        <w:t>Executive findings</w:t>
      </w:r>
    </w:p>
    <w:p>
      <w:pPr>
        <w:pStyle w:val="ListBullet"/>
        <w:spacing w:after="40"/>
      </w:pPr>
      <w:r>
        <w:t>An unintended Publish ran at 12:48:35 UTC and deployed source commit a32e930d97f9dbead0358466f769ddcf31fc178e.</w:t>
      </w:r>
    </w:p>
    <w:p>
      <w:pPr>
        <w:pStyle w:val="ListBullet"/>
        <w:spacing w:after="40"/>
      </w:pPr>
      <w:r>
        <w:t>Replit created publish marker 55587739a9bc4b8743421b4945eacc5e941716a2 for deployment build babb9aac-c603-4c46-8a41-f5e921c7b2d8.</w:t>
      </w:r>
    </w:p>
    <w:p>
      <w:pPr>
        <w:pStyle w:val="ListBullet"/>
        <w:spacing w:after="40"/>
      </w:pPr>
      <w:r>
        <w:t>Migration 088 ran successfully at 12:49:05 UTC and recreated the missing ledger relation.</w:t>
      </w:r>
    </w:p>
    <w:p>
      <w:pPr>
        <w:pStyle w:val="ListBullet"/>
        <w:spacing w:after="40"/>
      </w:pPr>
      <w:r>
        <w:t>The live ledger now matches the complete 087+088 contract: 36 columns, five constraints, and three indexes including the primary-key index.</w:t>
      </w:r>
    </w:p>
    <w:p>
      <w:pPr>
        <w:pStyle w:val="ListBullet"/>
        <w:spacing w:after="40"/>
      </w:pPr>
      <w:r>
        <w:t>August was anchored without replacing its 12,878 last-good rows or ₹304,228,618.69 amount.</w:t>
      </w:r>
    </w:p>
    <w:p>
      <w:pPr>
        <w:pStyle w:val="ListBullet"/>
        <w:spacing w:after="40"/>
      </w:pPr>
      <w:r>
        <w:t>September, which remains open, was synchronized from 122 to 153 rows.</w:t>
      </w:r>
    </w:p>
    <w:p>
      <w:pPr>
        <w:pStyle w:val="ListBullet"/>
        <w:spacing w:after="40"/>
      </w:pPr>
      <w:r>
        <w:t>No specifically identified production-only schema object was removed by this latest publish.</w:t>
      </w:r>
    </w:p>
    <w:p>
      <w:pPr>
        <w:pStyle w:val="ListBullet"/>
        <w:spacing w:after="40"/>
      </w:pPr>
      <w:r>
        <w:t>The original pre-12:49 ledger history remains lost. The recreated ledger begins at 12:49 and contains six startup records.</w:t>
      </w:r>
    </w:p>
    <w:p>
      <w:pPr>
        <w:pStyle w:val="Heading1"/>
      </w:pPr>
      <w:r>
        <w:t>1. Deployed commit and publish time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color w:val="17365D"/>
                <w:sz w:val="17"/>
              </w:rPr>
              <w:t>Item</w:t>
            </w:r>
          </w:p>
        </w:tc>
        <w:tc>
          <w:tcPr>
            <w:tcW w:type="dxa" w:w="5112"/>
            <w:shd w:fill="D9EAF7"/>
            <w:vAlign w:val="center"/>
          </w:tcPr>
          <w:p>
            <w:r/>
            <w:r>
              <w:rPr>
                <w:b/>
                <w:color w:val="17365D"/>
                <w:sz w:val="17"/>
              </w:rPr>
              <w:t>Value</w:t>
            </w:r>
          </w:p>
        </w:tc>
      </w:tr>
      <w:tr>
        <w:tc>
          <w:tcPr>
            <w:tcW w:type="dxa" w:w="5112"/>
            <w:vAlign w:val="center"/>
          </w:tcPr>
          <w:p>
            <w:r/>
            <w:r>
              <w:rPr>
                <w:b w:val="0"/>
                <w:sz w:val="17"/>
              </w:rPr>
              <w:t>Source commit</w:t>
            </w:r>
          </w:p>
        </w:tc>
        <w:tc>
          <w:tcPr>
            <w:tcW w:type="dxa" w:w="5112"/>
            <w:vAlign w:val="center"/>
          </w:tcPr>
          <w:p>
            <w:r/>
            <w:r>
              <w:rPr>
                <w:b w:val="0"/>
                <w:sz w:val="17"/>
              </w:rPr>
              <w:t>a32e930d97f9dbead0358466f769ddcf31fc178e</w:t>
            </w:r>
          </w:p>
        </w:tc>
      </w:tr>
      <w:tr>
        <w:tc>
          <w:tcPr>
            <w:tcW w:type="dxa" w:w="5112"/>
            <w:vAlign w:val="center"/>
          </w:tcPr>
          <w:p>
            <w:r/>
            <w:r>
              <w:rPr>
                <w:b w:val="0"/>
                <w:sz w:val="17"/>
              </w:rPr>
              <w:t>Commit message</w:t>
            </w:r>
          </w:p>
        </w:tc>
        <w:tc>
          <w:tcPr>
            <w:tcW w:type="dxa" w:w="5112"/>
            <w:vAlign w:val="center"/>
          </w:tcPr>
          <w:p>
            <w:r/>
            <w:r>
              <w:rPr>
                <w:b w:val="0"/>
                <w:sz w:val="17"/>
              </w:rPr>
              <w:t>fix: replay missing primary ingest ledger schema</w:t>
            </w:r>
          </w:p>
        </w:tc>
      </w:tr>
      <w:tr>
        <w:tc>
          <w:tcPr>
            <w:tcW w:type="dxa" w:w="5112"/>
            <w:vAlign w:val="center"/>
          </w:tcPr>
          <w:p>
            <w:r/>
            <w:r>
              <w:rPr>
                <w:b w:val="0"/>
                <w:sz w:val="17"/>
              </w:rPr>
              <w:t>Publish marker</w:t>
            </w:r>
          </w:p>
        </w:tc>
        <w:tc>
          <w:tcPr>
            <w:tcW w:type="dxa" w:w="5112"/>
            <w:vAlign w:val="center"/>
          </w:tcPr>
          <w:p>
            <w:r/>
            <w:r>
              <w:rPr>
                <w:b w:val="0"/>
                <w:sz w:val="17"/>
              </w:rPr>
              <w:t>55587739a9bc4b8743421b4945eacc5e941716a2</w:t>
            </w:r>
          </w:p>
        </w:tc>
      </w:tr>
      <w:tr>
        <w:tc>
          <w:tcPr>
            <w:tcW w:type="dxa" w:w="5112"/>
            <w:vAlign w:val="center"/>
          </w:tcPr>
          <w:p>
            <w:r/>
            <w:r>
              <w:rPr>
                <w:b w:val="0"/>
                <w:sz w:val="17"/>
              </w:rPr>
              <w:t>Publish time</w:t>
            </w:r>
          </w:p>
        </w:tc>
        <w:tc>
          <w:tcPr>
            <w:tcW w:type="dxa" w:w="5112"/>
            <w:vAlign w:val="center"/>
          </w:tcPr>
          <w:p>
            <w:r/>
            <w:r>
              <w:rPr>
                <w:b w:val="0"/>
                <w:sz w:val="17"/>
              </w:rPr>
              <w:t>2026-09-07 12:48:35 UTC</w:t>
            </w:r>
          </w:p>
        </w:tc>
      </w:tr>
      <w:tr>
        <w:tc>
          <w:tcPr>
            <w:tcW w:type="dxa" w:w="5112"/>
            <w:vAlign w:val="center"/>
          </w:tcPr>
          <w:p>
            <w:r/>
            <w:r>
              <w:rPr>
                <w:b w:val="0"/>
                <w:sz w:val="17"/>
              </w:rPr>
              <w:t>Deployment build ID</w:t>
            </w:r>
          </w:p>
        </w:tc>
        <w:tc>
          <w:tcPr>
            <w:tcW w:type="dxa" w:w="5112"/>
            <w:vAlign w:val="center"/>
          </w:tcPr>
          <w:p>
            <w:r/>
            <w:r>
              <w:rPr>
                <w:b w:val="0"/>
                <w:sz w:val="17"/>
              </w:rPr>
              <w:t>babb9aac-c603-4c46-8a41-f5e921c7b2d8</w:t>
            </w:r>
          </w:p>
        </w:tc>
      </w:tr>
      <w:tr>
        <w:tc>
          <w:tcPr>
            <w:tcW w:type="dxa" w:w="5112"/>
            <w:vAlign w:val="center"/>
          </w:tcPr>
          <w:p>
            <w:r/>
            <w:r>
              <w:rPr>
                <w:b w:val="0"/>
                <w:sz w:val="17"/>
              </w:rPr>
              <w:t>origin/main</w:t>
            </w:r>
          </w:p>
        </w:tc>
        <w:tc>
          <w:tcPr>
            <w:tcW w:type="dxa" w:w="5112"/>
            <w:vAlign w:val="center"/>
          </w:tcPr>
          <w:p>
            <w:r/>
            <w:r>
              <w:rPr>
                <w:b w:val="0"/>
                <w:sz w:val="17"/>
              </w:rPr>
              <w:t>a32e930d97f9dbead0358466f769ddcf31fc178e</w:t>
            </w:r>
          </w:p>
        </w:tc>
      </w:tr>
    </w:tbl>
    <w:p>
      <w:pPr>
        <w:spacing w:after="20"/>
      </w:pPr>
    </w:p>
    <w:p>
      <w:r>
        <w:t>Both source and publish-marker objects were verified as Git commits. The publish marker contains deployment metadata and is not a separate behavior-changing source commit.</w:t>
      </w:r>
    </w:p>
    <w:p>
      <w:pPr>
        <w:pStyle w:val="Heading1"/>
      </w:pPr>
      <w:r>
        <w:t>2. Migration startup result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color w:val="17365D"/>
                <w:sz w:val="17"/>
              </w:rPr>
              <w:t>Migration</w:t>
            </w:r>
          </w:p>
        </w:tc>
        <w:tc>
          <w:tcPr>
            <w:tcW w:type="dxa" w:w="3408"/>
            <w:shd w:fill="D9EAF7"/>
            <w:vAlign w:val="center"/>
          </w:tcPr>
          <w:p>
            <w:r/>
            <w:r>
              <w:rPr>
                <w:b/>
                <w:color w:val="17365D"/>
                <w:sz w:val="17"/>
              </w:rPr>
              <w:t>Applied at (UTC)</w:t>
            </w:r>
          </w:p>
        </w:tc>
        <w:tc>
          <w:tcPr>
            <w:tcW w:type="dxa" w:w="3408"/>
            <w:shd w:fill="D9EAF7"/>
            <w:vAlign w:val="center"/>
          </w:tcPr>
          <w:p>
            <w:r/>
            <w:r>
              <w:rPr>
                <w:b/>
                <w:color w:val="17365D"/>
                <w:sz w:val="17"/>
              </w:rPr>
              <w:t>Startup behavior</w:t>
            </w:r>
          </w:p>
        </w:tc>
      </w:tr>
      <w:tr>
        <w:tc>
          <w:tcPr>
            <w:tcW w:type="dxa" w:w="3408"/>
            <w:vAlign w:val="center"/>
          </w:tcPr>
          <w:p>
            <w:r/>
            <w:r>
              <w:rPr>
                <w:b w:val="0"/>
                <w:sz w:val="17"/>
              </w:rPr>
              <w:t>087_register_monthly_ingest_ledger</w:t>
            </w:r>
          </w:p>
        </w:tc>
        <w:tc>
          <w:tcPr>
            <w:tcW w:type="dxa" w:w="3408"/>
            <w:vAlign w:val="center"/>
          </w:tcPr>
          <w:p>
            <w:r/>
            <w:r>
              <w:rPr>
                <w:b w:val="0"/>
                <w:sz w:val="17"/>
              </w:rPr>
              <w:t>2026-09-07 11:46:09.356</w:t>
            </w:r>
          </w:p>
        </w:tc>
        <w:tc>
          <w:tcPr>
            <w:tcW w:type="dxa" w:w="3408"/>
            <w:vAlign w:val="center"/>
          </w:tcPr>
          <w:p>
            <w:r/>
            <w:r>
              <w:rPr>
                <w:b w:val="0"/>
                <w:sz w:val="17"/>
              </w:rPr>
              <w:t>Already recorded; did not rerun</w:t>
            </w:r>
          </w:p>
        </w:tc>
      </w:tr>
      <w:tr>
        <w:tc>
          <w:tcPr>
            <w:tcW w:type="dxa" w:w="3408"/>
            <w:vAlign w:val="center"/>
          </w:tcPr>
          <w:p>
            <w:r/>
            <w:r>
              <w:rPr>
                <w:b w:val="0"/>
                <w:sz w:val="17"/>
              </w:rPr>
              <w:t>088_register_anchor_after_rejection</w:t>
            </w:r>
          </w:p>
        </w:tc>
        <w:tc>
          <w:tcPr>
            <w:tcW w:type="dxa" w:w="3408"/>
            <w:vAlign w:val="center"/>
          </w:tcPr>
          <w:p>
            <w:r/>
            <w:r>
              <w:rPr>
                <w:b w:val="0"/>
                <w:sz w:val="17"/>
              </w:rPr>
              <w:t>2026-09-07 12:49:05.342</w:t>
            </w:r>
          </w:p>
        </w:tc>
        <w:tc>
          <w:tcPr>
            <w:tcW w:type="dxa" w:w="3408"/>
            <w:vAlign w:val="center"/>
          </w:tcPr>
          <w:p>
            <w:r/>
            <w:r>
              <w:rPr>
                <w:b w:val="0"/>
                <w:sz w:val="17"/>
              </w:rPr>
              <w:t>Applied successfully; recreated ledger and expanded outcome check</w:t>
            </w:r>
          </w:p>
        </w:tc>
      </w:tr>
    </w:tbl>
    <w:p>
      <w:pPr>
        <w:spacing w:after="20"/>
      </w:pPr>
    </w:p>
    <w:p>
      <w:r>
        <w:t>Production connection identity:</w:t>
      </w:r>
    </w:p>
    <w:p>
      <w:pPr>
        <w:spacing w:after="100"/>
        <w:ind w:left="317"/>
      </w:pPr>
      <w:r>
        <w:rPr>
          <w:rFonts w:ascii="Consolas" w:hAnsi="Consolas"/>
          <w:color w:val="282828"/>
          <w:sz w:val="16"/>
        </w:rPr>
        <w:t>database = neondb</w:t>
        <w:br/>
        <w:t>user = neondb_owner</w:t>
        <w:br/>
        <w:t>schema = public</w:t>
      </w:r>
    </w:p>
    <w:p>
      <w:r>
        <w:t>The deployment log explicitly states:</w:t>
      </w:r>
    </w:p>
    <w:p>
      <w:pPr>
        <w:spacing w:after="100"/>
        <w:ind w:left="317"/>
      </w:pPr>
      <w:r>
        <w:rPr>
          <w:rFonts w:ascii="Consolas" w:hAnsi="Consolas"/>
          <w:color w:val="282828"/>
          <w:sz w:val="16"/>
        </w:rPr>
        <w:t>[migrations] Applied: 088_register_anchor_after_rejection</w:t>
      </w:r>
    </w:p>
    <w:p>
      <w:pPr>
        <w:pStyle w:val="Heading1"/>
      </w:pPr>
      <w:r>
        <w:t>3. Full live ledger definition</w:t>
      </w:r>
    </w:p>
    <w:p>
      <w:r>
        <w:t>Relation: public.register_monthly_ingest_ledger (ordinary PostgreSQL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
              <w:rPr>
                <w:b/>
                <w:color w:val="17365D"/>
                <w:sz w:val="17"/>
              </w:rPr>
              <w:t>#</w:t>
            </w:r>
          </w:p>
        </w:tc>
        <w:tc>
          <w:tcPr>
            <w:tcW w:type="dxa" w:w="2045"/>
            <w:shd w:fill="D9EAF7"/>
            <w:vAlign w:val="center"/>
          </w:tcPr>
          <w:p>
            <w:r/>
            <w:r>
              <w:rPr>
                <w:b/>
                <w:color w:val="17365D"/>
                <w:sz w:val="17"/>
              </w:rPr>
              <w:t>Column</w:t>
            </w:r>
          </w:p>
        </w:tc>
        <w:tc>
          <w:tcPr>
            <w:tcW w:type="dxa" w:w="2045"/>
            <w:shd w:fill="D9EAF7"/>
            <w:vAlign w:val="center"/>
          </w:tcPr>
          <w:p>
            <w:r/>
            <w:r>
              <w:rPr>
                <w:b/>
                <w:color w:val="17365D"/>
                <w:sz w:val="17"/>
              </w:rPr>
              <w:t>Type</w:t>
            </w:r>
          </w:p>
        </w:tc>
        <w:tc>
          <w:tcPr>
            <w:tcW w:type="dxa" w:w="2045"/>
            <w:shd w:fill="D9EAF7"/>
            <w:vAlign w:val="center"/>
          </w:tcPr>
          <w:p>
            <w:r/>
            <w:r>
              <w:rPr>
                <w:b/>
                <w:color w:val="17365D"/>
                <w:sz w:val="17"/>
              </w:rPr>
              <w:t>Nullable</w:t>
            </w:r>
          </w:p>
        </w:tc>
        <w:tc>
          <w:tcPr>
            <w:tcW w:type="dxa" w:w="2045"/>
            <w:shd w:fill="D9EAF7"/>
            <w:vAlign w:val="center"/>
          </w:tcPr>
          <w:p>
            <w:r/>
            <w:r>
              <w:rPr>
                <w:b/>
                <w:color w:val="17365D"/>
                <w:sz w:val="17"/>
              </w:rPr>
              <w:t>Default</w:t>
            </w:r>
          </w:p>
        </w:tc>
      </w:tr>
      <w:tr>
        <w:tc>
          <w:tcPr>
            <w:tcW w:type="dxa" w:w="2045"/>
            <w:vAlign w:val="center"/>
          </w:tcPr>
          <w:p>
            <w:r/>
            <w:r>
              <w:rPr>
                <w:b w:val="0"/>
                <w:sz w:val="17"/>
              </w:rPr>
              <w:t>1</w:t>
            </w:r>
          </w:p>
        </w:tc>
        <w:tc>
          <w:tcPr>
            <w:tcW w:type="dxa" w:w="2045"/>
            <w:vAlign w:val="center"/>
          </w:tcPr>
          <w:p>
            <w:r/>
            <w:r>
              <w:rPr>
                <w:b w:val="0"/>
                <w:sz w:val="17"/>
              </w:rPr>
              <w:t>id</w:t>
            </w:r>
          </w:p>
        </w:tc>
        <w:tc>
          <w:tcPr>
            <w:tcW w:type="dxa" w:w="2045"/>
            <w:vAlign w:val="center"/>
          </w:tcPr>
          <w:p>
            <w:r/>
            <w:r>
              <w:rPr>
                <w:b w:val="0"/>
                <w:sz w:val="17"/>
              </w:rPr>
              <w:t>integer</w:t>
            </w:r>
          </w:p>
        </w:tc>
        <w:tc>
          <w:tcPr>
            <w:tcW w:type="dxa" w:w="2045"/>
            <w:vAlign w:val="center"/>
          </w:tcPr>
          <w:p>
            <w:r/>
            <w:r>
              <w:rPr>
                <w:b w:val="0"/>
                <w:sz w:val="17"/>
              </w:rPr>
              <w:t>No</w:t>
            </w:r>
          </w:p>
        </w:tc>
        <w:tc>
          <w:tcPr>
            <w:tcW w:type="dxa" w:w="2045"/>
            <w:vAlign w:val="center"/>
          </w:tcPr>
          <w:p>
            <w:r/>
            <w:r>
              <w:rPr>
                <w:b w:val="0"/>
                <w:sz w:val="17"/>
              </w:rPr>
              <w:t>nextval('register_monthly_ingest_ledger_id_seq')</w:t>
            </w:r>
          </w:p>
        </w:tc>
      </w:tr>
      <w:tr>
        <w:tc>
          <w:tcPr>
            <w:tcW w:type="dxa" w:w="2045"/>
            <w:vAlign w:val="center"/>
          </w:tcPr>
          <w:p>
            <w:r/>
            <w:r>
              <w:rPr>
                <w:b w:val="0"/>
                <w:sz w:val="17"/>
              </w:rPr>
              <w:t>2</w:t>
            </w:r>
          </w:p>
        </w:tc>
        <w:tc>
          <w:tcPr>
            <w:tcW w:type="dxa" w:w="2045"/>
            <w:vAlign w:val="center"/>
          </w:tcPr>
          <w:p>
            <w:r/>
            <w:r>
              <w:rPr>
                <w:b w:val="0"/>
                <w:sz w:val="17"/>
              </w:rPr>
              <w:t>run_id</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3</w:t>
            </w:r>
          </w:p>
        </w:tc>
        <w:tc>
          <w:tcPr>
            <w:tcW w:type="dxa" w:w="2045"/>
            <w:vAlign w:val="center"/>
          </w:tcPr>
          <w:p>
            <w:r/>
            <w:r>
              <w:rPr>
                <w:b w:val="0"/>
                <w:sz w:val="17"/>
              </w:rPr>
              <w:t>actor</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4</w:t>
            </w:r>
          </w:p>
        </w:tc>
        <w:tc>
          <w:tcPr>
            <w:tcW w:type="dxa" w:w="2045"/>
            <w:vAlign w:val="center"/>
          </w:tcPr>
          <w:p>
            <w:r/>
            <w:r>
              <w:rPr>
                <w:b w:val="0"/>
                <w:sz w:val="17"/>
              </w:rPr>
              <w:t>operator</w:t>
            </w:r>
          </w:p>
        </w:tc>
        <w:tc>
          <w:tcPr>
            <w:tcW w:type="dxa" w:w="2045"/>
            <w:vAlign w:val="center"/>
          </w:tcPr>
          <w:p>
            <w:r/>
            <w:r>
              <w:rPr>
                <w:b w:val="0"/>
                <w:sz w:val="17"/>
              </w:rPr>
              <w:t>text</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5</w:t>
            </w:r>
          </w:p>
        </w:tc>
        <w:tc>
          <w:tcPr>
            <w:tcW w:type="dxa" w:w="2045"/>
            <w:vAlign w:val="center"/>
          </w:tcPr>
          <w:p>
            <w:r/>
            <w:r>
              <w:rPr>
                <w:b w:val="0"/>
                <w:sz w:val="17"/>
              </w:rPr>
              <w:t>source</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6</w:t>
            </w:r>
          </w:p>
        </w:tc>
        <w:tc>
          <w:tcPr>
            <w:tcW w:type="dxa" w:w="2045"/>
            <w:vAlign w:val="center"/>
          </w:tcPr>
          <w:p>
            <w:r/>
            <w:r>
              <w:rPr>
                <w:b w:val="0"/>
                <w:sz w:val="17"/>
              </w:rPr>
              <w:t>fy</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7</w:t>
            </w:r>
          </w:p>
        </w:tc>
        <w:tc>
          <w:tcPr>
            <w:tcW w:type="dxa" w:w="2045"/>
            <w:vAlign w:val="center"/>
          </w:tcPr>
          <w:p>
            <w:r/>
            <w:r>
              <w:rPr>
                <w:b w:val="0"/>
                <w:sz w:val="17"/>
              </w:rPr>
              <w:t>month_label</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8</w:t>
            </w:r>
          </w:p>
        </w:tc>
        <w:tc>
          <w:tcPr>
            <w:tcW w:type="dxa" w:w="2045"/>
            <w:vAlign w:val="center"/>
          </w:tcPr>
          <w:p>
            <w:r/>
            <w:r>
              <w:rPr>
                <w:b w:val="0"/>
                <w:sz w:val="17"/>
              </w:rPr>
              <w:t>attempted_at</w:t>
            </w:r>
          </w:p>
        </w:tc>
        <w:tc>
          <w:tcPr>
            <w:tcW w:type="dxa" w:w="2045"/>
            <w:vAlign w:val="center"/>
          </w:tcPr>
          <w:p>
            <w:r/>
            <w:r>
              <w:rPr>
                <w:b w:val="0"/>
                <w:sz w:val="17"/>
              </w:rPr>
              <w:t>timestamptz</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9</w:t>
            </w:r>
          </w:p>
        </w:tc>
        <w:tc>
          <w:tcPr>
            <w:tcW w:type="dxa" w:w="2045"/>
            <w:vAlign w:val="center"/>
          </w:tcPr>
          <w:p>
            <w:r/>
            <w:r>
              <w:rPr>
                <w:b w:val="0"/>
                <w:sz w:val="17"/>
              </w:rPr>
              <w:t>completed_at</w:t>
            </w:r>
          </w:p>
        </w:tc>
        <w:tc>
          <w:tcPr>
            <w:tcW w:type="dxa" w:w="2045"/>
            <w:vAlign w:val="center"/>
          </w:tcPr>
          <w:p>
            <w:r/>
            <w:r>
              <w:rPr>
                <w:b w:val="0"/>
                <w:sz w:val="17"/>
              </w:rPr>
              <w:t>timestamptz</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10</w:t>
            </w:r>
          </w:p>
        </w:tc>
        <w:tc>
          <w:tcPr>
            <w:tcW w:type="dxa" w:w="2045"/>
            <w:vAlign w:val="center"/>
          </w:tcPr>
          <w:p>
            <w:r/>
            <w:r>
              <w:rPr>
                <w:b w:val="0"/>
                <w:sz w:val="17"/>
              </w:rPr>
              <w:t>outcome</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11</w:t>
            </w:r>
          </w:p>
        </w:tc>
        <w:tc>
          <w:tcPr>
            <w:tcW w:type="dxa" w:w="2045"/>
            <w:vAlign w:val="center"/>
          </w:tcPr>
          <w:p>
            <w:r/>
            <w:r>
              <w:rPr>
                <w:b w:val="0"/>
                <w:sz w:val="17"/>
              </w:rPr>
              <w:t>write_atomicity</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12</w:t>
            </w:r>
          </w:p>
        </w:tc>
        <w:tc>
          <w:tcPr>
            <w:tcW w:type="dxa" w:w="2045"/>
            <w:vAlign w:val="center"/>
          </w:tcPr>
          <w:p>
            <w:r/>
            <w:r>
              <w:rPr>
                <w:b w:val="0"/>
                <w:sz w:val="17"/>
              </w:rPr>
              <w:t>rows_written</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13</w:t>
            </w:r>
          </w:p>
        </w:tc>
        <w:tc>
          <w:tcPr>
            <w:tcW w:type="dxa" w:w="2045"/>
            <w:vAlign w:val="center"/>
          </w:tcPr>
          <w:p>
            <w:r/>
            <w:r>
              <w:rPr>
                <w:b w:val="0"/>
                <w:sz w:val="17"/>
              </w:rPr>
              <w:t>projected_rows_written</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14</w:t>
            </w:r>
          </w:p>
        </w:tc>
        <w:tc>
          <w:tcPr>
            <w:tcW w:type="dxa" w:w="2045"/>
            <w:vAlign w:val="center"/>
          </w:tcPr>
          <w:p>
            <w:r/>
            <w:r>
              <w:rPr>
                <w:b w:val="0"/>
                <w:sz w:val="17"/>
              </w:rPr>
              <w:t>before_rows</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15</w:t>
            </w:r>
          </w:p>
        </w:tc>
        <w:tc>
          <w:tcPr>
            <w:tcW w:type="dxa" w:w="2045"/>
            <w:vAlign w:val="center"/>
          </w:tcPr>
          <w:p>
            <w:r/>
            <w:r>
              <w:rPr>
                <w:b w:val="0"/>
                <w:sz w:val="17"/>
              </w:rPr>
              <w:t>before_amount</w:t>
            </w:r>
          </w:p>
        </w:tc>
        <w:tc>
          <w:tcPr>
            <w:tcW w:type="dxa" w:w="2045"/>
            <w:vAlign w:val="center"/>
          </w:tcPr>
          <w:p>
            <w:r/>
            <w:r>
              <w:rPr>
                <w:b w:val="0"/>
                <w:sz w:val="17"/>
              </w:rPr>
              <w:t>numeric</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16</w:t>
            </w:r>
          </w:p>
        </w:tc>
        <w:tc>
          <w:tcPr>
            <w:tcW w:type="dxa" w:w="2045"/>
            <w:vAlign w:val="center"/>
          </w:tcPr>
          <w:p>
            <w:r/>
            <w:r>
              <w:rPr>
                <w:b w:val="0"/>
                <w:sz w:val="17"/>
              </w:rPr>
              <w:t>before_fingerprint</w:t>
            </w:r>
          </w:p>
        </w:tc>
        <w:tc>
          <w:tcPr>
            <w:tcW w:type="dxa" w:w="2045"/>
            <w:vAlign w:val="center"/>
          </w:tcPr>
          <w:p>
            <w:r/>
            <w:r>
              <w:rPr>
                <w:b w:val="0"/>
                <w:sz w:val="17"/>
              </w:rPr>
              <w:t>text</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17</w:t>
            </w:r>
          </w:p>
        </w:tc>
        <w:tc>
          <w:tcPr>
            <w:tcW w:type="dxa" w:w="2045"/>
            <w:vAlign w:val="center"/>
          </w:tcPr>
          <w:p>
            <w:r/>
            <w:r>
              <w:rPr>
                <w:b w:val="0"/>
                <w:sz w:val="17"/>
              </w:rPr>
              <w:t>source_rows</w:t>
            </w:r>
          </w:p>
        </w:tc>
        <w:tc>
          <w:tcPr>
            <w:tcW w:type="dxa" w:w="2045"/>
            <w:vAlign w:val="center"/>
          </w:tcPr>
          <w:p>
            <w:r/>
            <w:r>
              <w:rPr>
                <w:b w:val="0"/>
                <w:sz w:val="17"/>
              </w:rPr>
              <w:t>integer</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18</w:t>
            </w:r>
          </w:p>
        </w:tc>
        <w:tc>
          <w:tcPr>
            <w:tcW w:type="dxa" w:w="2045"/>
            <w:vAlign w:val="center"/>
          </w:tcPr>
          <w:p>
            <w:r/>
            <w:r>
              <w:rPr>
                <w:b w:val="0"/>
                <w:sz w:val="17"/>
              </w:rPr>
              <w:t>source_amount</w:t>
            </w:r>
          </w:p>
        </w:tc>
        <w:tc>
          <w:tcPr>
            <w:tcW w:type="dxa" w:w="2045"/>
            <w:vAlign w:val="center"/>
          </w:tcPr>
          <w:p>
            <w:r/>
            <w:r>
              <w:rPr>
                <w:b w:val="0"/>
                <w:sz w:val="17"/>
              </w:rPr>
              <w:t>numeric</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19</w:t>
            </w:r>
          </w:p>
        </w:tc>
        <w:tc>
          <w:tcPr>
            <w:tcW w:type="dxa" w:w="2045"/>
            <w:vAlign w:val="center"/>
          </w:tcPr>
          <w:p>
            <w:r/>
            <w:r>
              <w:rPr>
                <w:b w:val="0"/>
                <w:sz w:val="17"/>
              </w:rPr>
              <w:t>source_fingerprint</w:t>
            </w:r>
          </w:p>
        </w:tc>
        <w:tc>
          <w:tcPr>
            <w:tcW w:type="dxa" w:w="2045"/>
            <w:vAlign w:val="center"/>
          </w:tcPr>
          <w:p>
            <w:r/>
            <w:r>
              <w:rPr>
                <w:b w:val="0"/>
                <w:sz w:val="17"/>
              </w:rPr>
              <w:t>text</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20</w:t>
            </w:r>
          </w:p>
        </w:tc>
        <w:tc>
          <w:tcPr>
            <w:tcW w:type="dxa" w:w="2045"/>
            <w:vAlign w:val="center"/>
          </w:tcPr>
          <w:p>
            <w:r/>
            <w:r>
              <w:rPr>
                <w:b w:val="0"/>
                <w:sz w:val="17"/>
              </w:rPr>
              <w:t>after_rows</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21</w:t>
            </w:r>
          </w:p>
        </w:tc>
        <w:tc>
          <w:tcPr>
            <w:tcW w:type="dxa" w:w="2045"/>
            <w:vAlign w:val="center"/>
          </w:tcPr>
          <w:p>
            <w:r/>
            <w:r>
              <w:rPr>
                <w:b w:val="0"/>
                <w:sz w:val="17"/>
              </w:rPr>
              <w:t>after_amount</w:t>
            </w:r>
          </w:p>
        </w:tc>
        <w:tc>
          <w:tcPr>
            <w:tcW w:type="dxa" w:w="2045"/>
            <w:vAlign w:val="center"/>
          </w:tcPr>
          <w:p>
            <w:r/>
            <w:r>
              <w:rPr>
                <w:b w:val="0"/>
                <w:sz w:val="17"/>
              </w:rPr>
              <w:t>numeric</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22</w:t>
            </w:r>
          </w:p>
        </w:tc>
        <w:tc>
          <w:tcPr>
            <w:tcW w:type="dxa" w:w="2045"/>
            <w:vAlign w:val="center"/>
          </w:tcPr>
          <w:p>
            <w:r/>
            <w:r>
              <w:rPr>
                <w:b w:val="0"/>
                <w:sz w:val="17"/>
              </w:rPr>
              <w:t>after_fingerprint</w:t>
            </w:r>
          </w:p>
        </w:tc>
        <w:tc>
          <w:tcPr>
            <w:tcW w:type="dxa" w:w="2045"/>
            <w:vAlign w:val="center"/>
          </w:tcPr>
          <w:p>
            <w:r/>
            <w:r>
              <w:rPr>
                <w:b w:val="0"/>
                <w:sz w:val="17"/>
              </w:rPr>
              <w:t>text</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23</w:t>
            </w:r>
          </w:p>
        </w:tc>
        <w:tc>
          <w:tcPr>
            <w:tcW w:type="dxa" w:w="2045"/>
            <w:vAlign w:val="center"/>
          </w:tcPr>
          <w:p>
            <w:r/>
            <w:r>
              <w:rPr>
                <w:b w:val="0"/>
                <w:sz w:val="17"/>
              </w:rPr>
              <w:t>source_row_delta</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24</w:t>
            </w:r>
          </w:p>
        </w:tc>
        <w:tc>
          <w:tcPr>
            <w:tcW w:type="dxa" w:w="2045"/>
            <w:vAlign w:val="center"/>
          </w:tcPr>
          <w:p>
            <w:r/>
            <w:r>
              <w:rPr>
                <w:b w:val="0"/>
                <w:sz w:val="17"/>
              </w:rPr>
              <w:t>source_amount_delta</w:t>
            </w:r>
          </w:p>
        </w:tc>
        <w:tc>
          <w:tcPr>
            <w:tcW w:type="dxa" w:w="2045"/>
            <w:vAlign w:val="center"/>
          </w:tcPr>
          <w:p>
            <w:r/>
            <w:r>
              <w:rPr>
                <w:b w:val="0"/>
                <w:sz w:val="17"/>
              </w:rPr>
              <w:t>numeric</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25</w:t>
            </w:r>
          </w:p>
        </w:tc>
        <w:tc>
          <w:tcPr>
            <w:tcW w:type="dxa" w:w="2045"/>
            <w:vAlign w:val="center"/>
          </w:tcPr>
          <w:p>
            <w:r/>
            <w:r>
              <w:rPr>
                <w:b w:val="0"/>
                <w:sz w:val="17"/>
              </w:rPr>
              <w:t>source_shrink</w:t>
            </w:r>
          </w:p>
        </w:tc>
        <w:tc>
          <w:tcPr>
            <w:tcW w:type="dxa" w:w="2045"/>
            <w:vAlign w:val="center"/>
          </w:tcPr>
          <w:p>
            <w:r/>
            <w:r>
              <w:rPr>
                <w:b w:val="0"/>
                <w:sz w:val="17"/>
              </w:rPr>
              <w:t>boolean</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26</w:t>
            </w:r>
          </w:p>
        </w:tc>
        <w:tc>
          <w:tcPr>
            <w:tcW w:type="dxa" w:w="2045"/>
            <w:vAlign w:val="center"/>
          </w:tcPr>
          <w:p>
            <w:r/>
            <w:r>
              <w:rPr>
                <w:b w:val="0"/>
                <w:sz w:val="17"/>
              </w:rPr>
              <w:t>actual_row_delta</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27</w:t>
            </w:r>
          </w:p>
        </w:tc>
        <w:tc>
          <w:tcPr>
            <w:tcW w:type="dxa" w:w="2045"/>
            <w:vAlign w:val="center"/>
          </w:tcPr>
          <w:p>
            <w:r/>
            <w:r>
              <w:rPr>
                <w:b w:val="0"/>
                <w:sz w:val="17"/>
              </w:rPr>
              <w:t>actual_amount_delta</w:t>
            </w:r>
          </w:p>
        </w:tc>
        <w:tc>
          <w:tcPr>
            <w:tcW w:type="dxa" w:w="2045"/>
            <w:vAlign w:val="center"/>
          </w:tcPr>
          <w:p>
            <w:r/>
            <w:r>
              <w:rPr>
                <w:b w:val="0"/>
                <w:sz w:val="17"/>
              </w:rPr>
              <w:t>numeric</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28</w:t>
            </w:r>
          </w:p>
        </w:tc>
        <w:tc>
          <w:tcPr>
            <w:tcW w:type="dxa" w:w="2045"/>
            <w:vAlign w:val="center"/>
          </w:tcPr>
          <w:p>
            <w:r/>
            <w:r>
              <w:rPr>
                <w:b w:val="0"/>
                <w:sz w:val="17"/>
              </w:rPr>
              <w:t>actual_shrink</w:t>
            </w:r>
          </w:p>
        </w:tc>
        <w:tc>
          <w:tcPr>
            <w:tcW w:type="dxa" w:w="2045"/>
            <w:vAlign w:val="center"/>
          </w:tcPr>
          <w:p>
            <w:r/>
            <w:r>
              <w:rPr>
                <w:b w:val="0"/>
                <w:sz w:val="17"/>
              </w:rPr>
              <w:t>boolean</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29</w:t>
            </w:r>
          </w:p>
        </w:tc>
        <w:tc>
          <w:tcPr>
            <w:tcW w:type="dxa" w:w="2045"/>
            <w:vAlign w:val="center"/>
          </w:tcPr>
          <w:p>
            <w:r/>
            <w:r>
              <w:rPr>
                <w:b w:val="0"/>
                <w:sz w:val="17"/>
              </w:rPr>
              <w:t>added_rows</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30</w:t>
            </w:r>
          </w:p>
        </w:tc>
        <w:tc>
          <w:tcPr>
            <w:tcW w:type="dxa" w:w="2045"/>
            <w:vAlign w:val="center"/>
          </w:tcPr>
          <w:p>
            <w:r/>
            <w:r>
              <w:rPr>
                <w:b w:val="0"/>
                <w:sz w:val="17"/>
              </w:rPr>
              <w:t>removed_rows</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31</w:t>
            </w:r>
          </w:p>
        </w:tc>
        <w:tc>
          <w:tcPr>
            <w:tcW w:type="dxa" w:w="2045"/>
            <w:vAlign w:val="center"/>
          </w:tcPr>
          <w:p>
            <w:r/>
            <w:r>
              <w:rPr>
                <w:b w:val="0"/>
                <w:sz w:val="17"/>
              </w:rPr>
              <w:t>changed_rows</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32</w:t>
            </w:r>
          </w:p>
        </w:tc>
        <w:tc>
          <w:tcPr>
            <w:tcW w:type="dxa" w:w="2045"/>
            <w:vAlign w:val="center"/>
          </w:tcPr>
          <w:p>
            <w:r/>
            <w:r>
              <w:rPr>
                <w:b w:val="0"/>
                <w:sz w:val="17"/>
              </w:rPr>
              <w:t>confidence</w:t>
            </w:r>
          </w:p>
        </w:tc>
        <w:tc>
          <w:tcPr>
            <w:tcW w:type="dxa" w:w="2045"/>
            <w:vAlign w:val="center"/>
          </w:tcPr>
          <w:p>
            <w:r/>
            <w:r>
              <w:rPr>
                <w:b w:val="0"/>
                <w:sz w:val="17"/>
              </w:rPr>
              <w:t>text</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33</w:t>
            </w:r>
          </w:p>
        </w:tc>
        <w:tc>
          <w:tcPr>
            <w:tcW w:type="dxa" w:w="2045"/>
            <w:vAlign w:val="center"/>
          </w:tcPr>
          <w:p>
            <w:r/>
            <w:r>
              <w:rPr>
                <w:b w:val="0"/>
                <w:sz w:val="17"/>
              </w:rPr>
              <w:t>unpaired_residual_rows</w:t>
            </w:r>
          </w:p>
        </w:tc>
        <w:tc>
          <w:tcPr>
            <w:tcW w:type="dxa" w:w="2045"/>
            <w:vAlign w:val="center"/>
          </w:tcPr>
          <w:p>
            <w:r/>
            <w:r>
              <w:rPr>
                <w:b w:val="0"/>
                <w:sz w:val="17"/>
              </w:rPr>
              <w:t>integer</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34</w:t>
            </w:r>
          </w:p>
        </w:tc>
        <w:tc>
          <w:tcPr>
            <w:tcW w:type="dxa" w:w="2045"/>
            <w:vAlign w:val="center"/>
          </w:tcPr>
          <w:p>
            <w:r/>
            <w:r>
              <w:rPr>
                <w:b w:val="0"/>
                <w:sz w:val="17"/>
              </w:rPr>
              <w:t>spreadsheet_id</w:t>
            </w:r>
          </w:p>
        </w:tc>
        <w:tc>
          <w:tcPr>
            <w:tcW w:type="dxa" w:w="2045"/>
            <w:vAlign w:val="center"/>
          </w:tcPr>
          <w:p>
            <w:r/>
            <w:r>
              <w:rPr>
                <w:b w:val="0"/>
                <w:sz w:val="17"/>
              </w:rPr>
              <w:t>text</w:t>
            </w:r>
          </w:p>
        </w:tc>
        <w:tc>
          <w:tcPr>
            <w:tcW w:type="dxa" w:w="2045"/>
            <w:vAlign w:val="center"/>
          </w:tcPr>
          <w:p>
            <w:r/>
            <w:r>
              <w:rPr>
                <w:b w:val="0"/>
                <w:sz w:val="17"/>
              </w:rPr>
              <w:t>Yes</w:t>
            </w:r>
          </w:p>
        </w:tc>
        <w:tc>
          <w:tcPr>
            <w:tcW w:type="dxa" w:w="2045"/>
            <w:vAlign w:val="center"/>
          </w:tcPr>
          <w:p>
            <w:r/>
            <w:r>
              <w:rPr>
                <w:b w:val="0"/>
                <w:sz w:val="17"/>
              </w:rPr>
            </w:r>
          </w:p>
        </w:tc>
      </w:tr>
      <w:tr>
        <w:tc>
          <w:tcPr>
            <w:tcW w:type="dxa" w:w="2045"/>
            <w:vAlign w:val="center"/>
          </w:tcPr>
          <w:p>
            <w:r/>
            <w:r>
              <w:rPr>
                <w:b w:val="0"/>
                <w:sz w:val="17"/>
              </w:rPr>
              <w:t>35</w:t>
            </w:r>
          </w:p>
        </w:tc>
        <w:tc>
          <w:tcPr>
            <w:tcW w:type="dxa" w:w="2045"/>
            <w:vAlign w:val="center"/>
          </w:tcPr>
          <w:p>
            <w:r/>
            <w:r>
              <w:rPr>
                <w:b w:val="0"/>
                <w:sz w:val="17"/>
              </w:rPr>
              <w:t>source_evidence</w:t>
            </w:r>
          </w:p>
        </w:tc>
        <w:tc>
          <w:tcPr>
            <w:tcW w:type="dxa" w:w="2045"/>
            <w:vAlign w:val="center"/>
          </w:tcPr>
          <w:p>
            <w:r/>
            <w:r>
              <w:rPr>
                <w:b w:val="0"/>
                <w:sz w:val="17"/>
              </w:rPr>
              <w:t>jsonb</w:t>
            </w:r>
          </w:p>
        </w:tc>
        <w:tc>
          <w:tcPr>
            <w:tcW w:type="dxa" w:w="2045"/>
            <w:vAlign w:val="center"/>
          </w:tcPr>
          <w:p>
            <w:r/>
            <w:r>
              <w:rPr>
                <w:b w:val="0"/>
                <w:sz w:val="17"/>
              </w:rPr>
              <w:t>No</w:t>
            </w:r>
          </w:p>
        </w:tc>
        <w:tc>
          <w:tcPr>
            <w:tcW w:type="dxa" w:w="2045"/>
            <w:vAlign w:val="center"/>
          </w:tcPr>
          <w:p>
            <w:r/>
            <w:r>
              <w:rPr>
                <w:b w:val="0"/>
                <w:sz w:val="17"/>
              </w:rPr>
            </w:r>
          </w:p>
        </w:tc>
      </w:tr>
      <w:tr>
        <w:tc>
          <w:tcPr>
            <w:tcW w:type="dxa" w:w="2045"/>
            <w:vAlign w:val="center"/>
          </w:tcPr>
          <w:p>
            <w:r/>
            <w:r>
              <w:rPr>
                <w:b w:val="0"/>
                <w:sz w:val="17"/>
              </w:rPr>
              <w:t>36</w:t>
            </w:r>
          </w:p>
        </w:tc>
        <w:tc>
          <w:tcPr>
            <w:tcW w:type="dxa" w:w="2045"/>
            <w:vAlign w:val="center"/>
          </w:tcPr>
          <w:p>
            <w:r/>
            <w:r>
              <w:rPr>
                <w:b w:val="0"/>
                <w:sz w:val="17"/>
              </w:rPr>
              <w:t>detail</w:t>
            </w:r>
          </w:p>
        </w:tc>
        <w:tc>
          <w:tcPr>
            <w:tcW w:type="dxa" w:w="2045"/>
            <w:vAlign w:val="center"/>
          </w:tcPr>
          <w:p>
            <w:r/>
            <w:r>
              <w:rPr>
                <w:b w:val="0"/>
                <w:sz w:val="17"/>
              </w:rPr>
              <w:t>text</w:t>
            </w:r>
          </w:p>
        </w:tc>
        <w:tc>
          <w:tcPr>
            <w:tcW w:type="dxa" w:w="2045"/>
            <w:vAlign w:val="center"/>
          </w:tcPr>
          <w:p>
            <w:r/>
            <w:r>
              <w:rPr>
                <w:b w:val="0"/>
                <w:sz w:val="17"/>
              </w:rPr>
              <w:t>Yes</w:t>
            </w:r>
          </w:p>
        </w:tc>
        <w:tc>
          <w:tcPr>
            <w:tcW w:type="dxa" w:w="2045"/>
            <w:vAlign w:val="center"/>
          </w:tcPr>
          <w:p>
            <w:r/>
            <w:r>
              <w:rPr>
                <w:b w:val="0"/>
                <w:sz w:val="17"/>
              </w:rPr>
            </w:r>
          </w:p>
        </w:tc>
      </w:tr>
    </w:tbl>
    <w:p>
      <w:pPr>
        <w:spacing w:after="20"/>
      </w:pPr>
    </w:p>
    <w:p>
      <w:pPr>
        <w:pStyle w:val="Heading2"/>
      </w:pPr>
      <w:r>
        <w:t>Constraints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color w:val="17365D"/>
                <w:sz w:val="17"/>
              </w:rPr>
              <w:t>Constraint</w:t>
            </w:r>
          </w:p>
        </w:tc>
        <w:tc>
          <w:tcPr>
            <w:tcW w:type="dxa" w:w="5112"/>
            <w:shd w:fill="D9EAF7"/>
            <w:vAlign w:val="center"/>
          </w:tcPr>
          <w:p>
            <w:r/>
            <w:r>
              <w:rPr>
                <w:b/>
                <w:color w:val="17365D"/>
                <w:sz w:val="17"/>
              </w:rPr>
              <w:t>Definition</w:t>
            </w:r>
          </w:p>
        </w:tc>
      </w:tr>
      <w:tr>
        <w:tc>
          <w:tcPr>
            <w:tcW w:type="dxa" w:w="5112"/>
            <w:vAlign w:val="center"/>
          </w:tcPr>
          <w:p>
            <w:r/>
            <w:r>
              <w:rPr>
                <w:b w:val="0"/>
                <w:sz w:val="17"/>
              </w:rPr>
              <w:t>register_monthly_ingest_ledger_pkey</w:t>
            </w:r>
          </w:p>
        </w:tc>
        <w:tc>
          <w:tcPr>
            <w:tcW w:type="dxa" w:w="5112"/>
            <w:vAlign w:val="center"/>
          </w:tcPr>
          <w:p>
            <w:r/>
            <w:r>
              <w:rPr>
                <w:b w:val="0"/>
                <w:sz w:val="17"/>
              </w:rPr>
              <w:t>PRIMARY KEY (id)</w:t>
            </w:r>
          </w:p>
        </w:tc>
      </w:tr>
      <w:tr>
        <w:tc>
          <w:tcPr>
            <w:tcW w:type="dxa" w:w="5112"/>
            <w:vAlign w:val="center"/>
          </w:tcPr>
          <w:p>
            <w:r/>
            <w:r>
              <w:rPr>
                <w:b w:val="0"/>
                <w:sz w:val="17"/>
              </w:rPr>
              <w:t>register_monthly_ingest_ledger_actor_check</w:t>
            </w:r>
          </w:p>
        </w:tc>
        <w:tc>
          <w:tcPr>
            <w:tcW w:type="dxa" w:w="5112"/>
            <w:vAlign w:val="center"/>
          </w:tcPr>
          <w:p>
            <w:r/>
            <w:r>
              <w:rPr>
                <w:b w:val="0"/>
                <w:sz w:val="17"/>
              </w:rPr>
              <w:t>actor IN ('scheduler', 'manual')</w:t>
            </w:r>
          </w:p>
        </w:tc>
      </w:tr>
      <w:tr>
        <w:tc>
          <w:tcPr>
            <w:tcW w:type="dxa" w:w="5112"/>
            <w:vAlign w:val="center"/>
          </w:tcPr>
          <w:p>
            <w:r/>
            <w:r>
              <w:rPr>
                <w:b w:val="0"/>
                <w:sz w:val="17"/>
              </w:rPr>
              <w:t>register_monthly_ingest_ledger_outcome_check</w:t>
            </w:r>
          </w:p>
        </w:tc>
        <w:tc>
          <w:tcPr>
            <w:tcW w:type="dxa" w:w="5112"/>
            <w:vAlign w:val="center"/>
          </w:tcPr>
          <w:p>
            <w:r/>
            <w:r>
              <w:rPr>
                <w:b w:val="0"/>
                <w:sz w:val="17"/>
              </w:rPr>
              <w:t>outcome IN ('replaced', 'frozen-skipped', 'frozen-anchored', 'anchored-after-rejected-read', 'aborted-short-read', 'rejected-shrink', 'failed')</w:t>
            </w:r>
          </w:p>
        </w:tc>
      </w:tr>
      <w:tr>
        <w:tc>
          <w:tcPr>
            <w:tcW w:type="dxa" w:w="5112"/>
            <w:vAlign w:val="center"/>
          </w:tcPr>
          <w:p>
            <w:r/>
            <w:r>
              <w:rPr>
                <w:b w:val="0"/>
                <w:sz w:val="17"/>
              </w:rPr>
              <w:t>register_monthly_ingest_ledger_write_atomicity_check</w:t>
            </w:r>
          </w:p>
        </w:tc>
        <w:tc>
          <w:tcPr>
            <w:tcW w:type="dxa" w:w="5112"/>
            <w:vAlign w:val="center"/>
          </w:tcPr>
          <w:p>
            <w:r/>
            <w:r>
              <w:rPr>
                <w:b w:val="0"/>
                <w:sz w:val="17"/>
              </w:rPr>
              <w:t>write_atomicity IN ('same-replacement-transaction', 'ledger-only-transaction', 'post-rollback')</w:t>
            </w:r>
          </w:p>
        </w:tc>
      </w:tr>
      <w:tr>
        <w:tc>
          <w:tcPr>
            <w:tcW w:type="dxa" w:w="5112"/>
            <w:vAlign w:val="center"/>
          </w:tcPr>
          <w:p>
            <w:r/>
            <w:r>
              <w:rPr>
                <w:b w:val="0"/>
                <w:sz w:val="17"/>
              </w:rPr>
              <w:t>register_monthly_ingest_ledger_confidence_check</w:t>
            </w:r>
          </w:p>
        </w:tc>
        <w:tc>
          <w:tcPr>
            <w:tcW w:type="dxa" w:w="5112"/>
            <w:vAlign w:val="center"/>
          </w:tcPr>
          <w:p>
            <w:r/>
            <w:r>
              <w:rPr>
                <w:b w:val="0"/>
                <w:sz w:val="17"/>
              </w:rPr>
              <w:t>confidence IS NULL OR confidence = 'heuristic'</w:t>
            </w:r>
          </w:p>
        </w:tc>
      </w:tr>
    </w:tbl>
    <w:p>
      <w:pPr>
        <w:spacing w:after="20"/>
      </w:pPr>
    </w:p>
    <w:p>
      <w:pPr>
        <w:pStyle w:val="Heading2"/>
      </w:pPr>
      <w:r>
        <w:t>Indexes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color w:val="17365D"/>
                <w:sz w:val="17"/>
              </w:rPr>
              <w:t>Index</w:t>
            </w:r>
          </w:p>
        </w:tc>
        <w:tc>
          <w:tcPr>
            <w:tcW w:type="dxa" w:w="5112"/>
            <w:shd w:fill="D9EAF7"/>
            <w:vAlign w:val="center"/>
          </w:tcPr>
          <w:p>
            <w:r/>
            <w:r>
              <w:rPr>
                <w:b/>
                <w:color w:val="17365D"/>
                <w:sz w:val="17"/>
              </w:rPr>
              <w:t>Definition</w:t>
            </w:r>
          </w:p>
        </w:tc>
      </w:tr>
      <w:tr>
        <w:tc>
          <w:tcPr>
            <w:tcW w:type="dxa" w:w="5112"/>
            <w:vAlign w:val="center"/>
          </w:tcPr>
          <w:p>
            <w:r/>
            <w:r>
              <w:rPr>
                <w:b w:val="0"/>
                <w:sz w:val="17"/>
              </w:rPr>
              <w:t>register_monthly_ingest_ledger_pkey</w:t>
            </w:r>
          </w:p>
        </w:tc>
        <w:tc>
          <w:tcPr>
            <w:tcW w:type="dxa" w:w="5112"/>
            <w:vAlign w:val="center"/>
          </w:tcPr>
          <w:p>
            <w:r/>
            <w:r>
              <w:rPr>
                <w:b w:val="0"/>
                <w:sz w:val="17"/>
              </w:rPr>
              <w:t>UNIQUE (id)</w:t>
            </w:r>
          </w:p>
        </w:tc>
      </w:tr>
      <w:tr>
        <w:tc>
          <w:tcPr>
            <w:tcW w:type="dxa" w:w="5112"/>
            <w:vAlign w:val="center"/>
          </w:tcPr>
          <w:p>
            <w:r/>
            <w:r>
              <w:rPr>
                <w:b w:val="0"/>
                <w:sz w:val="17"/>
              </w:rPr>
              <w:t>register_monthly_ingest_ledger_fy_month_attempt_idx</w:t>
            </w:r>
          </w:p>
        </w:tc>
        <w:tc>
          <w:tcPr>
            <w:tcW w:type="dxa" w:w="5112"/>
            <w:vAlign w:val="center"/>
          </w:tcPr>
          <w:p>
            <w:r/>
            <w:r>
              <w:rPr>
                <w:b w:val="0"/>
                <w:sz w:val="17"/>
              </w:rPr>
              <w:t>(fy, month_label, attempted_at)</w:t>
            </w:r>
          </w:p>
        </w:tc>
      </w:tr>
      <w:tr>
        <w:tc>
          <w:tcPr>
            <w:tcW w:type="dxa" w:w="5112"/>
            <w:vAlign w:val="center"/>
          </w:tcPr>
          <w:p>
            <w:r/>
            <w:r>
              <w:rPr>
                <w:b w:val="0"/>
                <w:sz w:val="17"/>
              </w:rPr>
              <w:t>register_monthly_ingest_ledger_run_idx</w:t>
            </w:r>
          </w:p>
        </w:tc>
        <w:tc>
          <w:tcPr>
            <w:tcW w:type="dxa" w:w="5112"/>
            <w:vAlign w:val="center"/>
          </w:tcPr>
          <w:p>
            <w:r/>
            <w:r>
              <w:rPr>
                <w:b w:val="0"/>
                <w:sz w:val="17"/>
              </w:rPr>
              <w:t>(run_id)</w:t>
            </w:r>
          </w:p>
        </w:tc>
      </w:tr>
    </w:tbl>
    <w:p>
      <w:pPr>
        <w:spacing w:after="20"/>
      </w:pPr>
    </w:p>
    <w:p>
      <w:r>
        <w:t>Comparison result: the live relation matches the combined 087+088 contract. The sole intentional extension over 087 is the anchored-after-rejected-read outcome.</w:t>
      </w:r>
    </w:p>
    <w:p>
      <w:pPr>
        <w:pStyle w:val="Heading1"/>
      </w:pPr>
      <w:r>
        <w:t>4. Before/after schema inventory</w:t>
      </w:r>
    </w:p>
    <w:p>
      <w:r>
        <w:t>A complete historical catalog dump of the entire production database was not available. The audit therefore compares the immediately preceding catalog evidence, every object explicitly identified as at risk, and every object introduced or changed by migrations 079 through 088.</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color w:val="17365D"/>
                <w:sz w:val="17"/>
              </w:rPr>
              <w:t>Object category</w:t>
            </w:r>
          </w:p>
        </w:tc>
        <w:tc>
          <w:tcPr>
            <w:tcW w:type="dxa" w:w="5112"/>
            <w:shd w:fill="D9EAF7"/>
            <w:vAlign w:val="center"/>
          </w:tcPr>
          <w:p>
            <w:r/>
            <w:r>
              <w:rPr>
                <w:b/>
                <w:color w:val="17365D"/>
                <w:sz w:val="17"/>
              </w:rPr>
              <w:t>Missing after publish</w:t>
            </w:r>
          </w:p>
        </w:tc>
      </w:tr>
      <w:tr>
        <w:tc>
          <w:tcPr>
            <w:tcW w:type="dxa" w:w="5112"/>
            <w:vAlign w:val="center"/>
          </w:tcPr>
          <w:p>
            <w:r/>
            <w:r>
              <w:rPr>
                <w:b w:val="0"/>
                <w:sz w:val="17"/>
              </w:rPr>
              <w:t>Tables</w:t>
            </w:r>
          </w:p>
        </w:tc>
        <w:tc>
          <w:tcPr>
            <w:tcW w:type="dxa" w:w="5112"/>
            <w:vAlign w:val="center"/>
          </w:tcPr>
          <w:p>
            <w:r/>
            <w:r>
              <w:rPr>
                <w:b w:val="0"/>
                <w:sz w:val="17"/>
              </w:rPr>
              <w:t>None</w:t>
            </w:r>
          </w:p>
        </w:tc>
      </w:tr>
      <w:tr>
        <w:tc>
          <w:tcPr>
            <w:tcW w:type="dxa" w:w="5112"/>
            <w:vAlign w:val="center"/>
          </w:tcPr>
          <w:p>
            <w:r/>
            <w:r>
              <w:rPr>
                <w:b w:val="0"/>
                <w:sz w:val="17"/>
              </w:rPr>
              <w:t>Columns</w:t>
            </w:r>
          </w:p>
        </w:tc>
        <w:tc>
          <w:tcPr>
            <w:tcW w:type="dxa" w:w="5112"/>
            <w:vAlign w:val="center"/>
          </w:tcPr>
          <w:p>
            <w:r/>
            <w:r>
              <w:rPr>
                <w:b w:val="0"/>
                <w:sz w:val="17"/>
              </w:rPr>
              <w:t>None</w:t>
            </w:r>
          </w:p>
        </w:tc>
      </w:tr>
      <w:tr>
        <w:tc>
          <w:tcPr>
            <w:tcW w:type="dxa" w:w="5112"/>
            <w:vAlign w:val="center"/>
          </w:tcPr>
          <w:p>
            <w:r/>
            <w:r>
              <w:rPr>
                <w:b w:val="0"/>
                <w:sz w:val="17"/>
              </w:rPr>
              <w:t>Indexes</w:t>
            </w:r>
          </w:p>
        </w:tc>
        <w:tc>
          <w:tcPr>
            <w:tcW w:type="dxa" w:w="5112"/>
            <w:vAlign w:val="center"/>
          </w:tcPr>
          <w:p>
            <w:r/>
            <w:r>
              <w:rPr>
                <w:b w:val="0"/>
                <w:sz w:val="17"/>
              </w:rPr>
              <w:t>None</w:t>
            </w:r>
          </w:p>
        </w:tc>
      </w:tr>
      <w:tr>
        <w:tc>
          <w:tcPr>
            <w:tcW w:type="dxa" w:w="5112"/>
            <w:vAlign w:val="center"/>
          </w:tcPr>
          <w:p>
            <w:r/>
            <w:r>
              <w:rPr>
                <w:b w:val="0"/>
                <w:sz w:val="17"/>
              </w:rPr>
              <w:t>Constraints</w:t>
            </w:r>
          </w:p>
        </w:tc>
        <w:tc>
          <w:tcPr>
            <w:tcW w:type="dxa" w:w="5112"/>
            <w:vAlign w:val="center"/>
          </w:tcPr>
          <w:p>
            <w:r/>
            <w:r>
              <w:rPr>
                <w:b w:val="0"/>
                <w:sz w:val="17"/>
              </w:rPr>
              <w:t>None</w:t>
            </w:r>
          </w:p>
        </w:tc>
      </w:tr>
      <w:tr>
        <w:tc>
          <w:tcPr>
            <w:tcW w:type="dxa" w:w="5112"/>
            <w:vAlign w:val="center"/>
          </w:tcPr>
          <w:p>
            <w:r/>
            <w:r>
              <w:rPr>
                <w:b w:val="0"/>
                <w:sz w:val="17"/>
              </w:rPr>
              <w:t>Functions</w:t>
            </w:r>
          </w:p>
        </w:tc>
        <w:tc>
          <w:tcPr>
            <w:tcW w:type="dxa" w:w="5112"/>
            <w:vAlign w:val="center"/>
          </w:tcPr>
          <w:p>
            <w:r/>
            <w:r>
              <w:rPr>
                <w:b w:val="0"/>
                <w:sz w:val="17"/>
              </w:rPr>
              <w:t>None</w:t>
            </w:r>
          </w:p>
        </w:tc>
      </w:tr>
      <w:tr>
        <w:tc>
          <w:tcPr>
            <w:tcW w:type="dxa" w:w="5112"/>
            <w:vAlign w:val="center"/>
          </w:tcPr>
          <w:p>
            <w:r/>
            <w:r>
              <w:rPr>
                <w:b w:val="0"/>
                <w:sz w:val="17"/>
              </w:rPr>
              <w:t>Triggers</w:t>
            </w:r>
          </w:p>
        </w:tc>
        <w:tc>
          <w:tcPr>
            <w:tcW w:type="dxa" w:w="5112"/>
            <w:vAlign w:val="center"/>
          </w:tcPr>
          <w:p>
            <w:r/>
            <w:r>
              <w:rPr>
                <w:b w:val="0"/>
                <w:sz w:val="17"/>
              </w:rPr>
              <w:t>None</w:t>
            </w:r>
          </w:p>
        </w:tc>
      </w:tr>
    </w:tbl>
    <w:p>
      <w:pPr>
        <w:spacing w:after="20"/>
      </w:pPr>
    </w:p>
    <w:p>
      <w:pPr>
        <w:pStyle w:val="Heading2"/>
      </w:pPr>
      <w:r>
        <w:t>Specifically verified intact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color w:val="17365D"/>
                <w:sz w:val="17"/>
              </w:rPr>
              <w:t>Area</w:t>
            </w:r>
          </w:p>
        </w:tc>
        <w:tc>
          <w:tcPr>
            <w:tcW w:type="dxa" w:w="5112"/>
            <w:shd w:fill="D9EAF7"/>
            <w:vAlign w:val="center"/>
          </w:tcPr>
          <w:p>
            <w:r/>
            <w:r>
              <w:rPr>
                <w:b/>
                <w:color w:val="17365D"/>
                <w:sz w:val="17"/>
              </w:rPr>
              <w:t>Verified live objects</w:t>
            </w:r>
          </w:p>
        </w:tc>
      </w:tr>
      <w:tr>
        <w:tc>
          <w:tcPr>
            <w:tcW w:type="dxa" w:w="5112"/>
            <w:vAlign w:val="center"/>
          </w:tcPr>
          <w:p>
            <w:r/>
            <w:r>
              <w:rPr>
                <w:b w:val="0"/>
                <w:sz w:val="17"/>
              </w:rPr>
              <w:t>Secondary-order era schema</w:t>
            </w:r>
          </w:p>
        </w:tc>
        <w:tc>
          <w:tcPr>
            <w:tcW w:type="dxa" w:w="5112"/>
            <w:vAlign w:val="center"/>
          </w:tcPr>
          <w:p>
            <w:r/>
            <w:r>
              <w:rPr>
                <w:b w:val="0"/>
                <w:sz w:val="17"/>
              </w:rPr>
              <w:t>secondary_order_line; source_era, source_kind, fiscal_year, period_completeness, source_id; secondary_order_upload.source_id and entry_point; secondary_order_line_uq; sol_fiscal_year_idx; sol_source_kind_idx</w:t>
            </w:r>
          </w:p>
        </w:tc>
      </w:tr>
      <w:tr>
        <w:tc>
          <w:tcPr>
            <w:tcW w:type="dxa" w:w="5112"/>
            <w:vAlign w:val="center"/>
          </w:tcPr>
          <w:p>
            <w:r/>
            <w:r>
              <w:rPr>
                <w:b w:val="0"/>
                <w:sz w:val="17"/>
              </w:rPr>
              <w:t>Frozen-drift system</w:t>
            </w:r>
          </w:p>
        </w:tc>
        <w:tc>
          <w:tcPr>
            <w:tcW w:type="dxa" w:w="5112"/>
            <w:vAlign w:val="center"/>
          </w:tcPr>
          <w:p>
            <w:r/>
            <w:r>
              <w:rPr>
                <w:b w:val="0"/>
                <w:sz w:val="17"/>
              </w:rPr>
              <w:t>frozen_drift_check; frozen_drift_archive; checks; archive foreign key; audit index; immutability function and trigger</w:t>
            </w:r>
          </w:p>
        </w:tc>
      </w:tr>
      <w:tr>
        <w:tc>
          <w:tcPr>
            <w:tcW w:type="dxa" w:w="5112"/>
            <w:vAlign w:val="center"/>
          </w:tcPr>
          <w:p>
            <w:r/>
            <w:r>
              <w:rPr>
                <w:b w:val="0"/>
                <w:sz w:val="17"/>
              </w:rPr>
              <w:t>Seasonal curve</w:t>
            </w:r>
          </w:p>
        </w:tc>
        <w:tc>
          <w:tcPr>
            <w:tcW w:type="dxa" w:w="5112"/>
            <w:vAlign w:val="center"/>
          </w:tcPr>
          <w:p>
            <w:r/>
            <w:r>
              <w:rPr>
                <w:b w:val="0"/>
                <w:sz w:val="17"/>
              </w:rPr>
              <w:t>seasonal_curve; source_basis; all checks; active partial index; immutability function and trigger</w:t>
            </w:r>
          </w:p>
        </w:tc>
      </w:tr>
      <w:tr>
        <w:tc>
          <w:tcPr>
            <w:tcW w:type="dxa" w:w="5112"/>
            <w:vAlign w:val="center"/>
          </w:tcPr>
          <w:p>
            <w:r/>
            <w:r>
              <w:rPr>
                <w:b w:val="0"/>
                <w:sz w:val="17"/>
              </w:rPr>
              <w:t>User activity</w:t>
            </w:r>
          </w:p>
        </w:tc>
        <w:tc>
          <w:tcPr>
            <w:tcW w:type="dxa" w:w="5112"/>
            <w:vAlign w:val="center"/>
          </w:tcPr>
          <w:p>
            <w:r/>
            <w:r>
              <w:rPr>
                <w:b w:val="0"/>
                <w:sz w:val="17"/>
              </w:rPr>
              <w:t>All three activity tables, primary keys, foreign keys, unique constraints, checks and five explicit indexes</w:t>
            </w:r>
          </w:p>
        </w:tc>
      </w:tr>
      <w:tr>
        <w:tc>
          <w:tcPr>
            <w:tcW w:type="dxa" w:w="5112"/>
            <w:vAlign w:val="center"/>
          </w:tcPr>
          <w:p>
            <w:r/>
            <w:r>
              <w:rPr>
                <w:b w:val="0"/>
                <w:sz w:val="17"/>
              </w:rPr>
              <w:t>Authentication</w:t>
            </w:r>
          </w:p>
        </w:tc>
        <w:tc>
          <w:tcPr>
            <w:tcW w:type="dxa" w:w="5112"/>
            <w:vAlign w:val="center"/>
          </w:tcPr>
          <w:p>
            <w:r/>
            <w:r>
              <w:rPr>
                <w:b w:val="0"/>
                <w:sz w:val="17"/>
              </w:rPr>
              <w:t>auth_users.must_change_password BOOLEAN NOT NULL DEFAULT false</w:t>
            </w:r>
          </w:p>
        </w:tc>
      </w:tr>
      <w:tr>
        <w:tc>
          <w:tcPr>
            <w:tcW w:type="dxa" w:w="5112"/>
            <w:vAlign w:val="center"/>
          </w:tcPr>
          <w:p>
            <w:r/>
            <w:r>
              <w:rPr>
                <w:b w:val="0"/>
                <w:sz w:val="17"/>
              </w:rPr>
              <w:t>Ledger</w:t>
            </w:r>
          </w:p>
        </w:tc>
        <w:tc>
          <w:tcPr>
            <w:tcW w:type="dxa" w:w="5112"/>
            <w:vAlign w:val="center"/>
          </w:tcPr>
          <w:p>
            <w:r/>
            <w:r>
              <w:rPr>
                <w:b w:val="0"/>
                <w:sz w:val="17"/>
              </w:rPr>
              <w:t>Absent immediately before this publish; restored by 088 and present now</w:t>
            </w:r>
          </w:p>
        </w:tc>
      </w:tr>
    </w:tbl>
    <w:p>
      <w:pPr>
        <w:spacing w:after="20"/>
      </w:pPr>
    </w:p>
    <w:p>
      <w:pPr>
        <w:pStyle w:val="Heading1"/>
      </w:pPr>
      <w:r>
        <w:t>5. Current row counts and values</w:t>
      </w:r>
    </w:p>
    <w:p>
      <w:pPr>
        <w:pStyle w:val="Heading2"/>
      </w:pPr>
      <w:r>
        <w:t>FY2026–27 primary sale_line by month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color w:val="17365D"/>
                <w:sz w:val="17"/>
              </w:rPr>
              <w:t>Month</w:t>
            </w:r>
          </w:p>
        </w:tc>
        <w:tc>
          <w:tcPr>
            <w:tcW w:type="dxa" w:w="3408"/>
            <w:shd w:fill="D9EAF7"/>
            <w:vAlign w:val="center"/>
          </w:tcPr>
          <w:p>
            <w:r/>
            <w:r>
              <w:rPr>
                <w:b/>
                <w:color w:val="17365D"/>
                <w:sz w:val="17"/>
              </w:rPr>
              <w:t>Rows</w:t>
            </w:r>
          </w:p>
        </w:tc>
        <w:tc>
          <w:tcPr>
            <w:tcW w:type="dxa" w:w="3408"/>
            <w:shd w:fill="D9EAF7"/>
            <w:vAlign w:val="center"/>
          </w:tcPr>
          <w:p>
            <w:r/>
            <w:r>
              <w:rPr>
                <w:b/>
                <w:color w:val="17365D"/>
                <w:sz w:val="17"/>
              </w:rPr>
              <w:t>Amount</w:t>
            </w:r>
          </w:p>
        </w:tc>
      </w:tr>
      <w:tr>
        <w:tc>
          <w:tcPr>
            <w:tcW w:type="dxa" w:w="3408"/>
            <w:vAlign w:val="center"/>
          </w:tcPr>
          <w:p>
            <w:r/>
            <w:r>
              <w:rPr>
                <w:b w:val="0"/>
                <w:sz w:val="17"/>
              </w:rPr>
              <w:t>Apr-26</w:t>
            </w:r>
          </w:p>
        </w:tc>
        <w:tc>
          <w:tcPr>
            <w:tcW w:type="dxa" w:w="3408"/>
            <w:vAlign w:val="center"/>
          </w:tcPr>
          <w:p>
            <w:r/>
            <w:r>
              <w:rPr>
                <w:b w:val="0"/>
                <w:sz w:val="17"/>
              </w:rPr>
              <w:t>5,542</w:t>
            </w:r>
          </w:p>
        </w:tc>
        <w:tc>
          <w:tcPr>
            <w:tcW w:type="dxa" w:w="3408"/>
            <w:vAlign w:val="center"/>
          </w:tcPr>
          <w:p>
            <w:r/>
            <w:r>
              <w:rPr>
                <w:b w:val="0"/>
                <w:sz w:val="17"/>
              </w:rPr>
              <w:t>₹131,081,249.77</w:t>
            </w:r>
          </w:p>
        </w:tc>
      </w:tr>
      <w:tr>
        <w:tc>
          <w:tcPr>
            <w:tcW w:type="dxa" w:w="3408"/>
            <w:vAlign w:val="center"/>
          </w:tcPr>
          <w:p>
            <w:r/>
            <w:r>
              <w:rPr>
                <w:b w:val="0"/>
                <w:sz w:val="17"/>
              </w:rPr>
              <w:t>May-26</w:t>
            </w:r>
          </w:p>
        </w:tc>
        <w:tc>
          <w:tcPr>
            <w:tcW w:type="dxa" w:w="3408"/>
            <w:vAlign w:val="center"/>
          </w:tcPr>
          <w:p>
            <w:r/>
            <w:r>
              <w:rPr>
                <w:b w:val="0"/>
                <w:sz w:val="17"/>
              </w:rPr>
              <w:t>11,812</w:t>
            </w:r>
          </w:p>
        </w:tc>
        <w:tc>
          <w:tcPr>
            <w:tcW w:type="dxa" w:w="3408"/>
            <w:vAlign w:val="center"/>
          </w:tcPr>
          <w:p>
            <w:r/>
            <w:r>
              <w:rPr>
                <w:b w:val="0"/>
                <w:sz w:val="17"/>
              </w:rPr>
              <w:t>₹282,783,021.58</w:t>
            </w:r>
          </w:p>
        </w:tc>
      </w:tr>
      <w:tr>
        <w:tc>
          <w:tcPr>
            <w:tcW w:type="dxa" w:w="3408"/>
            <w:vAlign w:val="center"/>
          </w:tcPr>
          <w:p>
            <w:r/>
            <w:r>
              <w:rPr>
                <w:b w:val="0"/>
                <w:sz w:val="17"/>
              </w:rPr>
              <w:t>Jun-26</w:t>
            </w:r>
          </w:p>
        </w:tc>
        <w:tc>
          <w:tcPr>
            <w:tcW w:type="dxa" w:w="3408"/>
            <w:vAlign w:val="center"/>
          </w:tcPr>
          <w:p>
            <w:r/>
            <w:r>
              <w:rPr>
                <w:b w:val="0"/>
                <w:sz w:val="17"/>
              </w:rPr>
              <w:t>12,868</w:t>
            </w:r>
          </w:p>
        </w:tc>
        <w:tc>
          <w:tcPr>
            <w:tcW w:type="dxa" w:w="3408"/>
            <w:vAlign w:val="center"/>
          </w:tcPr>
          <w:p>
            <w:r/>
            <w:r>
              <w:rPr>
                <w:b w:val="0"/>
                <w:sz w:val="17"/>
              </w:rPr>
              <w:t>₹314,278,773.47</w:t>
            </w:r>
          </w:p>
        </w:tc>
      </w:tr>
      <w:tr>
        <w:tc>
          <w:tcPr>
            <w:tcW w:type="dxa" w:w="3408"/>
            <w:vAlign w:val="center"/>
          </w:tcPr>
          <w:p>
            <w:r/>
            <w:r>
              <w:rPr>
                <w:b w:val="0"/>
                <w:sz w:val="17"/>
              </w:rPr>
              <w:t>Jul-26</w:t>
            </w:r>
          </w:p>
        </w:tc>
        <w:tc>
          <w:tcPr>
            <w:tcW w:type="dxa" w:w="3408"/>
            <w:vAlign w:val="center"/>
          </w:tcPr>
          <w:p>
            <w:r/>
            <w:r>
              <w:rPr>
                <w:b w:val="0"/>
                <w:sz w:val="17"/>
              </w:rPr>
              <w:t>13,803</w:t>
            </w:r>
          </w:p>
        </w:tc>
        <w:tc>
          <w:tcPr>
            <w:tcW w:type="dxa" w:w="3408"/>
            <w:vAlign w:val="center"/>
          </w:tcPr>
          <w:p>
            <w:r/>
            <w:r>
              <w:rPr>
                <w:b w:val="0"/>
                <w:sz w:val="17"/>
              </w:rPr>
              <w:t>₹321,028,904.63</w:t>
            </w:r>
          </w:p>
        </w:tc>
      </w:tr>
      <w:tr>
        <w:tc>
          <w:tcPr>
            <w:tcW w:type="dxa" w:w="3408"/>
            <w:vAlign w:val="center"/>
          </w:tcPr>
          <w:p>
            <w:r/>
            <w:r>
              <w:rPr>
                <w:b w:val="0"/>
                <w:sz w:val="17"/>
              </w:rPr>
              <w:t>Aug-26</w:t>
            </w:r>
          </w:p>
        </w:tc>
        <w:tc>
          <w:tcPr>
            <w:tcW w:type="dxa" w:w="3408"/>
            <w:vAlign w:val="center"/>
          </w:tcPr>
          <w:p>
            <w:r/>
            <w:r>
              <w:rPr>
                <w:b w:val="0"/>
                <w:sz w:val="17"/>
              </w:rPr>
              <w:t>12,878</w:t>
            </w:r>
          </w:p>
        </w:tc>
        <w:tc>
          <w:tcPr>
            <w:tcW w:type="dxa" w:w="3408"/>
            <w:vAlign w:val="center"/>
          </w:tcPr>
          <w:p>
            <w:r/>
            <w:r>
              <w:rPr>
                <w:b w:val="0"/>
                <w:sz w:val="17"/>
              </w:rPr>
              <w:t>₹304,228,618.69</w:t>
            </w:r>
          </w:p>
        </w:tc>
      </w:tr>
      <w:tr>
        <w:tc>
          <w:tcPr>
            <w:tcW w:type="dxa" w:w="3408"/>
            <w:vAlign w:val="center"/>
          </w:tcPr>
          <w:p>
            <w:r/>
            <w:r>
              <w:rPr>
                <w:b w:val="0"/>
                <w:sz w:val="17"/>
              </w:rPr>
              <w:t>Sep-26</w:t>
            </w:r>
          </w:p>
        </w:tc>
        <w:tc>
          <w:tcPr>
            <w:tcW w:type="dxa" w:w="3408"/>
            <w:vAlign w:val="center"/>
          </w:tcPr>
          <w:p>
            <w:r/>
            <w:r>
              <w:rPr>
                <w:b w:val="0"/>
                <w:sz w:val="17"/>
              </w:rPr>
              <w:t>153</w:t>
            </w:r>
          </w:p>
        </w:tc>
        <w:tc>
          <w:tcPr>
            <w:tcW w:type="dxa" w:w="3408"/>
            <w:vAlign w:val="center"/>
          </w:tcPr>
          <w:p>
            <w:r/>
            <w:r>
              <w:rPr>
                <w:b w:val="0"/>
                <w:sz w:val="17"/>
              </w:rPr>
              <w:t>₹7,681,148.66</w:t>
            </w:r>
          </w:p>
        </w:tc>
      </w:tr>
      <w:tr>
        <w:tc>
          <w:tcPr>
            <w:tcW w:type="dxa" w:w="3408"/>
            <w:vAlign w:val="center"/>
          </w:tcPr>
          <w:p>
            <w:r/>
            <w:r>
              <w:rPr>
                <w:b w:val="0"/>
                <w:sz w:val="17"/>
              </w:rPr>
              <w:t>Total</w:t>
            </w:r>
          </w:p>
        </w:tc>
        <w:tc>
          <w:tcPr>
            <w:tcW w:type="dxa" w:w="3408"/>
            <w:vAlign w:val="center"/>
          </w:tcPr>
          <w:p>
            <w:r/>
            <w:r>
              <w:rPr>
                <w:b w:val="0"/>
                <w:sz w:val="17"/>
              </w:rPr>
              <w:t>57,056</w:t>
            </w:r>
          </w:p>
        </w:tc>
        <w:tc>
          <w:tcPr>
            <w:tcW w:type="dxa" w:w="3408"/>
            <w:vAlign w:val="center"/>
          </w:tcPr>
          <w:p>
            <w:r/>
            <w:r>
              <w:rPr>
                <w:b w:val="0"/>
                <w:sz w:val="17"/>
              </w:rPr>
              <w:t>₹1,361,081,716.80</w:t>
            </w:r>
          </w:p>
        </w:tc>
      </w:tr>
    </w:tbl>
    <w:p>
      <w:pPr>
        <w:spacing w:after="20"/>
      </w:pPr>
    </w:p>
    <w:p>
      <w:r>
        <w:t>The supplied reference was 57,034 rows. Current production is 22 rows higher. Frozen Apr–Aug rows are unchanged; the variation is confined to still-open September.</w:t>
      </w:r>
    </w:p>
    <w:p>
      <w:pPr>
        <w:pStyle w:val="Heading2"/>
      </w:pPr>
      <w:r>
        <w:t>Secondary order lines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color w:val="17365D"/>
                <w:sz w:val="17"/>
              </w:rPr>
              <w:t>Fiscal year</w:t>
            </w:r>
          </w:p>
        </w:tc>
        <w:tc>
          <w:tcPr>
            <w:tcW w:type="dxa" w:w="3408"/>
            <w:shd w:fill="D9EAF7"/>
            <w:vAlign w:val="center"/>
          </w:tcPr>
          <w:p>
            <w:r/>
            <w:r>
              <w:rPr>
                <w:b/>
                <w:color w:val="17365D"/>
                <w:sz w:val="17"/>
              </w:rPr>
              <w:t>Rows</w:t>
            </w:r>
          </w:p>
        </w:tc>
        <w:tc>
          <w:tcPr>
            <w:tcW w:type="dxa" w:w="3408"/>
            <w:shd w:fill="D9EAF7"/>
            <w:vAlign w:val="center"/>
          </w:tcPr>
          <w:p>
            <w:r/>
            <w:r>
              <w:rPr>
                <w:b/>
                <w:color w:val="17365D"/>
                <w:sz w:val="17"/>
              </w:rPr>
              <w:t>Basic order value</w:t>
            </w:r>
          </w:p>
        </w:tc>
      </w:tr>
      <w:tr>
        <w:tc>
          <w:tcPr>
            <w:tcW w:type="dxa" w:w="3408"/>
            <w:vAlign w:val="center"/>
          </w:tcPr>
          <w:p>
            <w:r/>
            <w:r>
              <w:rPr>
                <w:b w:val="0"/>
                <w:sz w:val="17"/>
              </w:rPr>
              <w:t>2024–25</w:t>
            </w:r>
          </w:p>
        </w:tc>
        <w:tc>
          <w:tcPr>
            <w:tcW w:type="dxa" w:w="3408"/>
            <w:vAlign w:val="center"/>
          </w:tcPr>
          <w:p>
            <w:r/>
            <w:r>
              <w:rPr>
                <w:b w:val="0"/>
                <w:sz w:val="17"/>
              </w:rPr>
              <w:t>335,251</w:t>
            </w:r>
          </w:p>
        </w:tc>
        <w:tc>
          <w:tcPr>
            <w:tcW w:type="dxa" w:w="3408"/>
            <w:vAlign w:val="center"/>
          </w:tcPr>
          <w:p>
            <w:r/>
            <w:r>
              <w:rPr>
                <w:b w:val="0"/>
                <w:sz w:val="17"/>
              </w:rPr>
              <w:t>₹2,159,997,061.0895</w:t>
            </w:r>
          </w:p>
        </w:tc>
      </w:tr>
      <w:tr>
        <w:tc>
          <w:tcPr>
            <w:tcW w:type="dxa" w:w="3408"/>
            <w:vAlign w:val="center"/>
          </w:tcPr>
          <w:p>
            <w:r/>
            <w:r>
              <w:rPr>
                <w:b w:val="0"/>
                <w:sz w:val="17"/>
              </w:rPr>
              <w:t>2025–26</w:t>
            </w:r>
          </w:p>
        </w:tc>
        <w:tc>
          <w:tcPr>
            <w:tcW w:type="dxa" w:w="3408"/>
            <w:vAlign w:val="center"/>
          </w:tcPr>
          <w:p>
            <w:r/>
            <w:r>
              <w:rPr>
                <w:b w:val="0"/>
                <w:sz w:val="17"/>
              </w:rPr>
              <w:t>379,439</w:t>
            </w:r>
          </w:p>
        </w:tc>
        <w:tc>
          <w:tcPr>
            <w:tcW w:type="dxa" w:w="3408"/>
            <w:vAlign w:val="center"/>
          </w:tcPr>
          <w:p>
            <w:r/>
            <w:r>
              <w:rPr>
                <w:b w:val="0"/>
                <w:sz w:val="17"/>
              </w:rPr>
              <w:t>₹2,310,913,869.00</w:t>
            </w:r>
          </w:p>
        </w:tc>
      </w:tr>
      <w:tr>
        <w:tc>
          <w:tcPr>
            <w:tcW w:type="dxa" w:w="3408"/>
            <w:vAlign w:val="center"/>
          </w:tcPr>
          <w:p>
            <w:r/>
            <w:r>
              <w:rPr>
                <w:b w:val="0"/>
                <w:sz w:val="17"/>
              </w:rPr>
              <w:t>2026–27</w:t>
            </w:r>
          </w:p>
        </w:tc>
        <w:tc>
          <w:tcPr>
            <w:tcW w:type="dxa" w:w="3408"/>
            <w:vAlign w:val="center"/>
          </w:tcPr>
          <w:p>
            <w:r/>
            <w:r>
              <w:rPr>
                <w:b w:val="0"/>
                <w:sz w:val="17"/>
              </w:rPr>
              <w:t>131,928</w:t>
            </w:r>
          </w:p>
        </w:tc>
        <w:tc>
          <w:tcPr>
            <w:tcW w:type="dxa" w:w="3408"/>
            <w:vAlign w:val="center"/>
          </w:tcPr>
          <w:p>
            <w:r/>
            <w:r>
              <w:rPr>
                <w:b w:val="0"/>
                <w:sz w:val="17"/>
              </w:rPr>
              <w:t>₹870,043,185.00</w:t>
            </w:r>
          </w:p>
        </w:tc>
      </w:tr>
      <w:tr>
        <w:tc>
          <w:tcPr>
            <w:tcW w:type="dxa" w:w="3408"/>
            <w:vAlign w:val="center"/>
          </w:tcPr>
          <w:p>
            <w:r/>
            <w:r>
              <w:rPr>
                <w:b w:val="0"/>
                <w:sz w:val="17"/>
              </w:rPr>
              <w:t>Total</w:t>
            </w:r>
          </w:p>
        </w:tc>
        <w:tc>
          <w:tcPr>
            <w:tcW w:type="dxa" w:w="3408"/>
            <w:vAlign w:val="center"/>
          </w:tcPr>
          <w:p>
            <w:r/>
            <w:r>
              <w:rPr>
                <w:b w:val="0"/>
                <w:sz w:val="17"/>
              </w:rPr>
              <w:t>846,618</w:t>
            </w:r>
          </w:p>
        </w:tc>
        <w:tc>
          <w:tcPr>
            <w:tcW w:type="dxa" w:w="3408"/>
            <w:vAlign w:val="center"/>
          </w:tcPr>
          <w:p>
            <w:r/>
            <w:r>
              <w:rPr>
                <w:b w:val="0"/>
                <w:sz w:val="17"/>
              </w:rPr>
              <w:t>₹5,340,954,115.0895 (₹534.0954 Cr)</w:t>
            </w:r>
          </w:p>
        </w:tc>
      </w:tr>
    </w:tbl>
    <w:p>
      <w:pPr>
        <w:spacing w:after="20"/>
      </w:pPr>
    </w:p>
    <w:p>
      <w:r>
        <w:t>This exactly matches the supplied 846,618-row / ₹534.10 Cr reference.</w:t>
      </w:r>
    </w:p>
    <w:p>
      <w:pPr>
        <w:pStyle w:val="Heading2"/>
      </w:pPr>
      <w:r>
        <w:t>Secondary raw tables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
              <w:rPr>
                <w:b/>
                <w:color w:val="17365D"/>
                <w:sz w:val="17"/>
              </w:rPr>
              <w:t>Table</w:t>
            </w:r>
          </w:p>
        </w:tc>
        <w:tc>
          <w:tcPr>
            <w:tcW w:type="dxa" w:w="2045"/>
            <w:shd w:fill="D9EAF7"/>
            <w:vAlign w:val="center"/>
          </w:tcPr>
          <w:p>
            <w:r/>
            <w:r>
              <w:rPr>
                <w:b/>
                <w:color w:val="17365D"/>
                <w:sz w:val="17"/>
              </w:rPr>
              <w:t>Rows</w:t>
            </w:r>
          </w:p>
        </w:tc>
        <w:tc>
          <w:tcPr>
            <w:tcW w:type="dxa" w:w="2045"/>
            <w:shd w:fill="D9EAF7"/>
            <w:vAlign w:val="center"/>
          </w:tcPr>
          <w:p>
            <w:r/>
            <w:r>
              <w:rPr>
                <w:b/>
                <w:color w:val="17365D"/>
                <w:sz w:val="17"/>
              </w:rPr>
              <w:t>Gross amount</w:t>
            </w:r>
          </w:p>
        </w:tc>
        <w:tc>
          <w:tcPr>
            <w:tcW w:type="dxa" w:w="2045"/>
            <w:shd w:fill="D9EAF7"/>
            <w:vAlign w:val="center"/>
          </w:tcPr>
          <w:p>
            <w:r/>
            <w:r>
              <w:rPr>
                <w:b/>
                <w:color w:val="17365D"/>
                <w:sz w:val="17"/>
              </w:rPr>
              <w:t>Net amount</w:t>
            </w:r>
          </w:p>
        </w:tc>
        <w:tc>
          <w:tcPr>
            <w:tcW w:type="dxa" w:w="2045"/>
            <w:shd w:fill="D9EAF7"/>
            <w:vAlign w:val="center"/>
          </w:tcPr>
          <w:p>
            <w:r/>
            <w:r>
              <w:rPr>
                <w:b/>
                <w:color w:val="17365D"/>
                <w:sz w:val="17"/>
              </w:rPr>
              <w:t>Quantity</w:t>
            </w:r>
          </w:p>
        </w:tc>
      </w:tr>
      <w:tr>
        <w:tc>
          <w:tcPr>
            <w:tcW w:type="dxa" w:w="2045"/>
            <w:vAlign w:val="center"/>
          </w:tcPr>
          <w:p>
            <w:r/>
            <w:r>
              <w:rPr>
                <w:b w:val="0"/>
                <w:sz w:val="17"/>
              </w:rPr>
              <w:t>secondary_register_line</w:t>
            </w:r>
          </w:p>
        </w:tc>
        <w:tc>
          <w:tcPr>
            <w:tcW w:type="dxa" w:w="2045"/>
            <w:vAlign w:val="center"/>
          </w:tcPr>
          <w:p>
            <w:r/>
            <w:r>
              <w:rPr>
                <w:b w:val="0"/>
                <w:sz w:val="17"/>
              </w:rPr>
              <w:t>1,390,685</w:t>
            </w:r>
          </w:p>
        </w:tc>
        <w:tc>
          <w:tcPr>
            <w:tcW w:type="dxa" w:w="2045"/>
            <w:vAlign w:val="center"/>
          </w:tcPr>
          <w:p>
            <w:r/>
            <w:r>
              <w:rPr>
                <w:b w:val="0"/>
                <w:sz w:val="17"/>
              </w:rPr>
              <w:t>₹17,304,537,538.03</w:t>
            </w:r>
          </w:p>
        </w:tc>
        <w:tc>
          <w:tcPr>
            <w:tcW w:type="dxa" w:w="2045"/>
            <w:vAlign w:val="center"/>
          </w:tcPr>
          <w:p>
            <w:r/>
            <w:r>
              <w:rPr>
                <w:b w:val="0"/>
                <w:sz w:val="17"/>
              </w:rPr>
              <w:t>₹9,140,350,651.4435</w:t>
            </w:r>
          </w:p>
        </w:tc>
        <w:tc>
          <w:tcPr>
            <w:tcW w:type="dxa" w:w="2045"/>
            <w:vAlign w:val="center"/>
          </w:tcPr>
          <w:p>
            <w:r/>
            <w:r>
              <w:rPr>
                <w:b w:val="0"/>
                <w:sz w:val="17"/>
              </w:rPr>
              <w:t>53,862,376</w:t>
            </w:r>
          </w:p>
        </w:tc>
      </w:tr>
      <w:tr>
        <w:tc>
          <w:tcPr>
            <w:tcW w:type="dxa" w:w="2045"/>
            <w:vAlign w:val="center"/>
          </w:tcPr>
          <w:p>
            <w:r/>
            <w:r>
              <w:rPr>
                <w:b w:val="0"/>
                <w:sz w:val="17"/>
              </w:rPr>
              <w:t>secondary_sku_line</w:t>
            </w:r>
          </w:p>
        </w:tc>
        <w:tc>
          <w:tcPr>
            <w:tcW w:type="dxa" w:w="2045"/>
            <w:vAlign w:val="center"/>
          </w:tcPr>
          <w:p>
            <w:r/>
            <w:r>
              <w:rPr>
                <w:b w:val="0"/>
                <w:sz w:val="17"/>
              </w:rPr>
              <w:t>1,099,586</w:t>
            </w:r>
          </w:p>
        </w:tc>
        <w:tc>
          <w:tcPr>
            <w:tcW w:type="dxa" w:w="2045"/>
            <w:vAlign w:val="center"/>
          </w:tcPr>
          <w:p>
            <w:r/>
            <w:r>
              <w:rPr>
                <w:b w:val="0"/>
                <w:sz w:val="17"/>
              </w:rPr>
              <w:t>₹13,463,961,538.01</w:t>
            </w:r>
          </w:p>
        </w:tc>
        <w:tc>
          <w:tcPr>
            <w:tcW w:type="dxa" w:w="2045"/>
            <w:vAlign w:val="center"/>
          </w:tcPr>
          <w:p>
            <w:r/>
            <w:r>
              <w:rPr>
                <w:b w:val="0"/>
                <w:sz w:val="17"/>
              </w:rPr>
              <w:t>₹6,963,314,276.34</w:t>
            </w:r>
          </w:p>
        </w:tc>
        <w:tc>
          <w:tcPr>
            <w:tcW w:type="dxa" w:w="2045"/>
            <w:vAlign w:val="center"/>
          </w:tcPr>
          <w:p>
            <w:r/>
            <w:r>
              <w:rPr>
                <w:b w:val="0"/>
                <w:sz w:val="17"/>
              </w:rPr>
              <w:t>43,014,439</w:t>
            </w:r>
          </w:p>
        </w:tc>
      </w:tr>
    </w:tbl>
    <w:p>
      <w:pPr>
        <w:spacing w:after="20"/>
      </w:pPr>
    </w:p>
    <w:p>
      <w:r>
        <w:t>These remain order-booking datasets, not dispatch or sell-through figures.</w:t>
      </w:r>
    </w:p>
    <w:p>
      <w:pPr>
        <w:pStyle w:val="Heading2"/>
      </w:pPr>
      <w:r>
        <w:t>Frozen FY anchors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r/>
            <w:r>
              <w:rPr>
                <w:b/>
                <w:color w:val="17365D"/>
                <w:sz w:val="17"/>
              </w:rPr>
              <w:t>Fiscal year</w:t>
            </w:r>
          </w:p>
        </w:tc>
        <w:tc>
          <w:tcPr>
            <w:tcW w:type="dxa" w:w="1704"/>
            <w:shd w:fill="D9EAF7"/>
            <w:vAlign w:val="center"/>
          </w:tcPr>
          <w:p>
            <w:r/>
            <w:r>
              <w:rPr>
                <w:b/>
                <w:color w:val="17365D"/>
                <w:sz w:val="17"/>
              </w:rPr>
              <w:t>Configured rows</w:t>
            </w:r>
          </w:p>
        </w:tc>
        <w:tc>
          <w:tcPr>
            <w:tcW w:type="dxa" w:w="1704"/>
            <w:shd w:fill="D9EAF7"/>
            <w:vAlign w:val="center"/>
          </w:tcPr>
          <w:p>
            <w:r/>
            <w:r>
              <w:rPr>
                <w:b/>
                <w:color w:val="17365D"/>
                <w:sz w:val="17"/>
              </w:rPr>
              <w:t>Configured rounded amount</w:t>
            </w:r>
          </w:p>
        </w:tc>
        <w:tc>
          <w:tcPr>
            <w:tcW w:type="dxa" w:w="1704"/>
            <w:shd w:fill="D9EAF7"/>
            <w:vAlign w:val="center"/>
          </w:tcPr>
          <w:p>
            <w:r/>
            <w:r>
              <w:rPr>
                <w:b/>
                <w:color w:val="17365D"/>
                <w:sz w:val="17"/>
              </w:rPr>
              <w:t>Live rows</w:t>
            </w:r>
          </w:p>
        </w:tc>
        <w:tc>
          <w:tcPr>
            <w:tcW w:type="dxa" w:w="1704"/>
            <w:shd w:fill="D9EAF7"/>
            <w:vAlign w:val="center"/>
          </w:tcPr>
          <w:p>
            <w:r/>
            <w:r>
              <w:rPr>
                <w:b/>
                <w:color w:val="17365D"/>
                <w:sz w:val="17"/>
              </w:rPr>
              <w:t>Live exact amount</w:t>
            </w:r>
          </w:p>
        </w:tc>
        <w:tc>
          <w:tcPr>
            <w:tcW w:type="dxa" w:w="1704"/>
            <w:shd w:fill="D9EAF7"/>
            <w:vAlign w:val="center"/>
          </w:tcPr>
          <w:p>
            <w:r/>
            <w:r>
              <w:rPr>
                <w:b/>
                <w:color w:val="17365D"/>
                <w:sz w:val="17"/>
              </w:rPr>
              <w:t>Result</w:t>
            </w:r>
          </w:p>
        </w:tc>
      </w:tr>
      <w:tr>
        <w:tc>
          <w:tcPr>
            <w:tcW w:type="dxa" w:w="1704"/>
            <w:vAlign w:val="center"/>
          </w:tcPr>
          <w:p>
            <w:r/>
            <w:r>
              <w:rPr>
                <w:b w:val="0"/>
                <w:sz w:val="17"/>
              </w:rPr>
              <w:t>2024–25</w:t>
            </w:r>
          </w:p>
        </w:tc>
        <w:tc>
          <w:tcPr>
            <w:tcW w:type="dxa" w:w="1704"/>
            <w:vAlign w:val="center"/>
          </w:tcPr>
          <w:p>
            <w:r/>
            <w:r>
              <w:rPr>
                <w:b w:val="0"/>
                <w:sz w:val="17"/>
              </w:rPr>
              <w:t>141,201</w:t>
            </w:r>
          </w:p>
        </w:tc>
        <w:tc>
          <w:tcPr>
            <w:tcW w:type="dxa" w:w="1704"/>
            <w:vAlign w:val="center"/>
          </w:tcPr>
          <w:p>
            <w:r/>
            <w:r>
              <w:rPr>
                <w:b w:val="0"/>
                <w:sz w:val="17"/>
              </w:rPr>
              <w:t>₹3,411,433,805</w:t>
            </w:r>
          </w:p>
        </w:tc>
        <w:tc>
          <w:tcPr>
            <w:tcW w:type="dxa" w:w="1704"/>
            <w:vAlign w:val="center"/>
          </w:tcPr>
          <w:p>
            <w:r/>
            <w:r>
              <w:rPr>
                <w:b w:val="0"/>
                <w:sz w:val="17"/>
              </w:rPr>
              <w:t>141,201</w:t>
            </w:r>
          </w:p>
        </w:tc>
        <w:tc>
          <w:tcPr>
            <w:tcW w:type="dxa" w:w="1704"/>
            <w:vAlign w:val="center"/>
          </w:tcPr>
          <w:p>
            <w:r/>
            <w:r>
              <w:rPr>
                <w:b w:val="0"/>
                <w:sz w:val="17"/>
              </w:rPr>
              <w:t>₹3,411,433,805.25</w:t>
            </w:r>
          </w:p>
        </w:tc>
        <w:tc>
          <w:tcPr>
            <w:tcW w:type="dxa" w:w="1704"/>
            <w:vAlign w:val="center"/>
          </w:tcPr>
          <w:p>
            <w:r/>
            <w:r>
              <w:rPr>
                <w:b w:val="0"/>
                <w:sz w:val="17"/>
              </w:rPr>
              <w:t>Match</w:t>
            </w:r>
          </w:p>
        </w:tc>
      </w:tr>
      <w:tr>
        <w:tc>
          <w:tcPr>
            <w:tcW w:type="dxa" w:w="1704"/>
            <w:vAlign w:val="center"/>
          </w:tcPr>
          <w:p>
            <w:r/>
            <w:r>
              <w:rPr>
                <w:b w:val="0"/>
                <w:sz w:val="17"/>
              </w:rPr>
              <w:t>2025–26</w:t>
            </w:r>
          </w:p>
        </w:tc>
        <w:tc>
          <w:tcPr>
            <w:tcW w:type="dxa" w:w="1704"/>
            <w:vAlign w:val="center"/>
          </w:tcPr>
          <w:p>
            <w:r/>
            <w:r>
              <w:rPr>
                <w:b w:val="0"/>
                <w:sz w:val="17"/>
              </w:rPr>
              <w:t>145,613</w:t>
            </w:r>
          </w:p>
        </w:tc>
        <w:tc>
          <w:tcPr>
            <w:tcW w:type="dxa" w:w="1704"/>
            <w:vAlign w:val="center"/>
          </w:tcPr>
          <w:p>
            <w:r/>
            <w:r>
              <w:rPr>
                <w:b w:val="0"/>
                <w:sz w:val="17"/>
              </w:rPr>
              <w:t>₹3,609,953,809</w:t>
            </w:r>
          </w:p>
        </w:tc>
        <w:tc>
          <w:tcPr>
            <w:tcW w:type="dxa" w:w="1704"/>
            <w:vAlign w:val="center"/>
          </w:tcPr>
          <w:p>
            <w:r/>
            <w:r>
              <w:rPr>
                <w:b w:val="0"/>
                <w:sz w:val="17"/>
              </w:rPr>
              <w:t>145,613</w:t>
            </w:r>
          </w:p>
        </w:tc>
        <w:tc>
          <w:tcPr>
            <w:tcW w:type="dxa" w:w="1704"/>
            <w:vAlign w:val="center"/>
          </w:tcPr>
          <w:p>
            <w:r/>
            <w:r>
              <w:rPr>
                <w:b w:val="0"/>
                <w:sz w:val="17"/>
              </w:rPr>
              <w:t>₹3,609,953,808.51</w:t>
            </w:r>
          </w:p>
        </w:tc>
        <w:tc>
          <w:tcPr>
            <w:tcW w:type="dxa" w:w="1704"/>
            <w:vAlign w:val="center"/>
          </w:tcPr>
          <w:p>
            <w:r/>
            <w:r>
              <w:rPr>
                <w:b w:val="0"/>
                <w:sz w:val="17"/>
              </w:rPr>
              <w:t>Match</w:t>
            </w:r>
          </w:p>
        </w:tc>
      </w:tr>
    </w:tbl>
    <w:p>
      <w:pPr>
        <w:spacing w:after="20"/>
      </w:pPr>
    </w:p>
    <w:p>
      <w:pPr>
        <w:pStyle w:val="Heading1"/>
      </w:pPr>
      <w:r>
        <w:t>6. Writes caused by the unintended publish</w:t>
      </w:r>
    </w:p>
    <w:p>
      <w:pPr>
        <w:pStyle w:val="Heading2"/>
      </w:pPr>
      <w:r>
        <w:t>August anchoring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color w:val="17365D"/>
                <w:sz w:val="17"/>
              </w:rPr>
              <w:t>Measure</w:t>
            </w:r>
          </w:p>
        </w:tc>
        <w:tc>
          <w:tcPr>
            <w:tcW w:type="dxa" w:w="2556"/>
            <w:shd w:fill="D9EAF7"/>
            <w:vAlign w:val="center"/>
          </w:tcPr>
          <w:p>
            <w:r/>
            <w:r>
              <w:rPr>
                <w:b/>
                <w:color w:val="17365D"/>
                <w:sz w:val="17"/>
              </w:rPr>
              <w:t>Before database</w:t>
            </w:r>
          </w:p>
        </w:tc>
        <w:tc>
          <w:tcPr>
            <w:tcW w:type="dxa" w:w="2556"/>
            <w:shd w:fill="D9EAF7"/>
            <w:vAlign w:val="center"/>
          </w:tcPr>
          <w:p>
            <w:r/>
            <w:r>
              <w:rPr>
                <w:b/>
                <w:color w:val="17365D"/>
                <w:sz w:val="17"/>
              </w:rPr>
              <w:t>Rejected source</w:t>
            </w:r>
          </w:p>
        </w:tc>
        <w:tc>
          <w:tcPr>
            <w:tcW w:type="dxa" w:w="2556"/>
            <w:shd w:fill="D9EAF7"/>
            <w:vAlign w:val="center"/>
          </w:tcPr>
          <w:p>
            <w:r/>
            <w:r>
              <w:rPr>
                <w:b/>
                <w:color w:val="17365D"/>
                <w:sz w:val="17"/>
              </w:rPr>
              <w:t>After database</w:t>
            </w:r>
          </w:p>
        </w:tc>
      </w:tr>
      <w:tr>
        <w:tc>
          <w:tcPr>
            <w:tcW w:type="dxa" w:w="2556"/>
            <w:vAlign w:val="center"/>
          </w:tcPr>
          <w:p>
            <w:r/>
            <w:r>
              <w:rPr>
                <w:b w:val="0"/>
                <w:sz w:val="17"/>
              </w:rPr>
              <w:t>Rows</w:t>
            </w:r>
          </w:p>
        </w:tc>
        <w:tc>
          <w:tcPr>
            <w:tcW w:type="dxa" w:w="2556"/>
            <w:vAlign w:val="center"/>
          </w:tcPr>
          <w:p>
            <w:r/>
            <w:r>
              <w:rPr>
                <w:b w:val="0"/>
                <w:sz w:val="17"/>
              </w:rPr>
              <w:t>12,878</w:t>
            </w:r>
          </w:p>
        </w:tc>
        <w:tc>
          <w:tcPr>
            <w:tcW w:type="dxa" w:w="2556"/>
            <w:vAlign w:val="center"/>
          </w:tcPr>
          <w:p>
            <w:r/>
            <w:r>
              <w:rPr>
                <w:b w:val="0"/>
                <w:sz w:val="17"/>
              </w:rPr>
              <w:t>12,871</w:t>
            </w:r>
          </w:p>
        </w:tc>
        <w:tc>
          <w:tcPr>
            <w:tcW w:type="dxa" w:w="2556"/>
            <w:vAlign w:val="center"/>
          </w:tcPr>
          <w:p>
            <w:r/>
            <w:r>
              <w:rPr>
                <w:b w:val="0"/>
                <w:sz w:val="17"/>
              </w:rPr>
              <w:t>12,878</w:t>
            </w:r>
          </w:p>
        </w:tc>
      </w:tr>
      <w:tr>
        <w:tc>
          <w:tcPr>
            <w:tcW w:type="dxa" w:w="2556"/>
            <w:vAlign w:val="center"/>
          </w:tcPr>
          <w:p>
            <w:r/>
            <w:r>
              <w:rPr>
                <w:b w:val="0"/>
                <w:sz w:val="17"/>
              </w:rPr>
              <w:t>Amount</w:t>
            </w:r>
          </w:p>
        </w:tc>
        <w:tc>
          <w:tcPr>
            <w:tcW w:type="dxa" w:w="2556"/>
            <w:vAlign w:val="center"/>
          </w:tcPr>
          <w:p>
            <w:r/>
            <w:r>
              <w:rPr>
                <w:b w:val="0"/>
                <w:sz w:val="17"/>
              </w:rPr>
              <w:t>₹304,228,618.69</w:t>
            </w:r>
          </w:p>
        </w:tc>
        <w:tc>
          <w:tcPr>
            <w:tcW w:type="dxa" w:w="2556"/>
            <w:vAlign w:val="center"/>
          </w:tcPr>
          <w:p>
            <w:r/>
            <w:r>
              <w:rPr>
                <w:b w:val="0"/>
                <w:sz w:val="17"/>
              </w:rPr>
              <w:t>₹304,200,894.69</w:t>
            </w:r>
          </w:p>
        </w:tc>
        <w:tc>
          <w:tcPr>
            <w:tcW w:type="dxa" w:w="2556"/>
            <w:vAlign w:val="center"/>
          </w:tcPr>
          <w:p>
            <w:r/>
            <w:r>
              <w:rPr>
                <w:b w:val="0"/>
                <w:sz w:val="17"/>
              </w:rPr>
              <w:t>₹304,228,618.69</w:t>
            </w:r>
          </w:p>
        </w:tc>
      </w:tr>
    </w:tbl>
    <w:p>
      <w:pPr>
        <w:spacing w:after="20"/>
      </w:pPr>
    </w:p>
    <w:p>
      <w:pPr>
        <w:spacing w:after="100"/>
        <w:ind w:left="317"/>
      </w:pPr>
      <w:r>
        <w:rPr>
          <w:rFonts w:ascii="Consolas" w:hAnsi="Consolas"/>
          <w:color w:val="282828"/>
          <w:sz w:val="16"/>
        </w:rPr>
        <w:t>outcome = anchored-after-rejected-read</w:t>
        <w:br/>
        <w:t>write_atomicity = ledger-only-transaction</w:t>
        <w:br/>
        <w:t>frozen_at = 2026-09-07 00:00:00 UTC</w:t>
        <w:br/>
        <w:t>frozen_rows = 12,878</w:t>
        <w:br/>
        <w:t>frozen_amount = ₹304,228,618.69</w:t>
      </w:r>
    </w:p>
    <w:p>
      <w:r>
        <w:t>No August sale_line rows were replaced. Apr, May, June and July received ledger-only frozen-skipped entries and retained their database rows and amounts.</w:t>
      </w:r>
    </w:p>
    <w:p>
      <w:pPr>
        <w:pStyle w:val="Heading2"/>
      </w:pPr>
      <w:r>
        <w:t>Open September replacement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color w:val="17365D"/>
                <w:sz w:val="17"/>
              </w:rPr>
              <w:t>State</w:t>
            </w:r>
          </w:p>
        </w:tc>
        <w:tc>
          <w:tcPr>
            <w:tcW w:type="dxa" w:w="3408"/>
            <w:shd w:fill="D9EAF7"/>
            <w:vAlign w:val="center"/>
          </w:tcPr>
          <w:p>
            <w:r/>
            <w:r>
              <w:rPr>
                <w:b/>
                <w:color w:val="17365D"/>
                <w:sz w:val="17"/>
              </w:rPr>
              <w:t>Rows</w:t>
            </w:r>
          </w:p>
        </w:tc>
        <w:tc>
          <w:tcPr>
            <w:tcW w:type="dxa" w:w="3408"/>
            <w:shd w:fill="D9EAF7"/>
            <w:vAlign w:val="center"/>
          </w:tcPr>
          <w:p>
            <w:r/>
            <w:r>
              <w:rPr>
                <w:b/>
                <w:color w:val="17365D"/>
                <w:sz w:val="17"/>
              </w:rPr>
              <w:t>Amount</w:t>
            </w:r>
          </w:p>
        </w:tc>
      </w:tr>
      <w:tr>
        <w:tc>
          <w:tcPr>
            <w:tcW w:type="dxa" w:w="3408"/>
            <w:vAlign w:val="center"/>
          </w:tcPr>
          <w:p>
            <w:r/>
            <w:r>
              <w:rPr>
                <w:b w:val="0"/>
                <w:sz w:val="17"/>
              </w:rPr>
              <w:t>Before</w:t>
            </w:r>
          </w:p>
        </w:tc>
        <w:tc>
          <w:tcPr>
            <w:tcW w:type="dxa" w:w="3408"/>
            <w:vAlign w:val="center"/>
          </w:tcPr>
          <w:p>
            <w:r/>
            <w:r>
              <w:rPr>
                <w:b w:val="0"/>
                <w:sz w:val="17"/>
              </w:rPr>
              <w:t>122</w:t>
            </w:r>
          </w:p>
        </w:tc>
        <w:tc>
          <w:tcPr>
            <w:tcW w:type="dxa" w:w="3408"/>
            <w:vAlign w:val="center"/>
          </w:tcPr>
          <w:p>
            <w:r/>
            <w:r>
              <w:rPr>
                <w:b w:val="0"/>
                <w:sz w:val="17"/>
              </w:rPr>
              <w:t>₹6,900,063.28</w:t>
            </w:r>
          </w:p>
        </w:tc>
      </w:tr>
      <w:tr>
        <w:tc>
          <w:tcPr>
            <w:tcW w:type="dxa" w:w="3408"/>
            <w:vAlign w:val="center"/>
          </w:tcPr>
          <w:p>
            <w:r/>
            <w:r>
              <w:rPr>
                <w:b w:val="0"/>
                <w:sz w:val="17"/>
              </w:rPr>
              <w:t>Source / after</w:t>
            </w:r>
          </w:p>
        </w:tc>
        <w:tc>
          <w:tcPr>
            <w:tcW w:type="dxa" w:w="3408"/>
            <w:vAlign w:val="center"/>
          </w:tcPr>
          <w:p>
            <w:r/>
            <w:r>
              <w:rPr>
                <w:b w:val="0"/>
                <w:sz w:val="17"/>
              </w:rPr>
              <w:t>153</w:t>
            </w:r>
          </w:p>
        </w:tc>
        <w:tc>
          <w:tcPr>
            <w:tcW w:type="dxa" w:w="3408"/>
            <w:vAlign w:val="center"/>
          </w:tcPr>
          <w:p>
            <w:r/>
            <w:r>
              <w:rPr>
                <w:b w:val="0"/>
                <w:sz w:val="17"/>
              </w:rPr>
              <w:t>₹7,681,148.66</w:t>
            </w:r>
          </w:p>
        </w:tc>
      </w:tr>
      <w:tr>
        <w:tc>
          <w:tcPr>
            <w:tcW w:type="dxa" w:w="3408"/>
            <w:vAlign w:val="center"/>
          </w:tcPr>
          <w:p>
            <w:r/>
            <w:r>
              <w:rPr>
                <w:b w:val="0"/>
                <w:sz w:val="17"/>
              </w:rPr>
              <w:t>Change</w:t>
            </w:r>
          </w:p>
        </w:tc>
        <w:tc>
          <w:tcPr>
            <w:tcW w:type="dxa" w:w="3408"/>
            <w:vAlign w:val="center"/>
          </w:tcPr>
          <w:p>
            <w:r/>
            <w:r>
              <w:rPr>
                <w:b w:val="0"/>
                <w:sz w:val="17"/>
              </w:rPr>
              <w:t>+31</w:t>
            </w:r>
          </w:p>
        </w:tc>
        <w:tc>
          <w:tcPr>
            <w:tcW w:type="dxa" w:w="3408"/>
            <w:vAlign w:val="center"/>
          </w:tcPr>
          <w:p>
            <w:r/>
            <w:r>
              <w:rPr>
                <w:b w:val="0"/>
                <w:sz w:val="17"/>
              </w:rPr>
              <w:t>+₹781,085.38</w:t>
            </w:r>
          </w:p>
        </w:tc>
      </w:tr>
    </w:tbl>
    <w:p>
      <w:pPr>
        <w:spacing w:after="20"/>
      </w:pPr>
    </w:p>
    <w:p>
      <w:pPr>
        <w:pStyle w:val="Heading1"/>
      </w:pPr>
      <w:r>
        <w:t>7. Lost ledger history</w:t>
      </w:r>
    </w:p>
    <w:p>
      <w:pPr>
        <w:spacing w:after="100"/>
        <w:ind w:left="317"/>
      </w:pPr>
      <w:r>
        <w:rPr>
          <w:rFonts w:ascii="Consolas" w:hAnsi="Consolas"/>
          <w:color w:val="282828"/>
          <w:sz w:val="16"/>
        </w:rPr>
        <w:t>Current ledger rows = 6</w:t>
        <w:br/>
        <w:t>First attempted_at = 2026-09-07 12:49:26.582 UTC</w:t>
        <w:br/>
        <w:t>Last attempted_at  = 2026-09-07 12:49:33.251 UTC</w:t>
      </w:r>
    </w:p>
    <w:p>
      <w:r>
        <w:t>The original records created after migration 087 at 11:46 are absent. At minimum, the previously observed August rejected-shrink record was lost when the earlier ledger table disappeared. No restoration attempt was made.</w:t>
      </w:r>
    </w:p>
    <w:p>
      <w:pPr>
        <w:pStyle w:val="Heading1"/>
      </w:pPr>
      <w:r>
        <w:t>8. Application health</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color w:val="17365D"/>
                <w:sz w:val="17"/>
              </w:rPr>
              <w:t>Check</w:t>
            </w:r>
          </w:p>
        </w:tc>
        <w:tc>
          <w:tcPr>
            <w:tcW w:type="dxa" w:w="5112"/>
            <w:shd w:fill="D9EAF7"/>
            <w:vAlign w:val="center"/>
          </w:tcPr>
          <w:p>
            <w:r/>
            <w:r>
              <w:rPr>
                <w:b/>
                <w:color w:val="17365D"/>
                <w:sz w:val="17"/>
              </w:rPr>
              <w:t>Result</w:t>
            </w:r>
          </w:p>
        </w:tc>
      </w:tr>
      <w:tr>
        <w:tc>
          <w:tcPr>
            <w:tcW w:type="dxa" w:w="5112"/>
            <w:vAlign w:val="center"/>
          </w:tcPr>
          <w:p>
            <w:r/>
            <w:r>
              <w:rPr>
                <w:b w:val="0"/>
                <w:sz w:val="17"/>
              </w:rPr>
              <w:t>Deployment type</w:t>
            </w:r>
          </w:p>
        </w:tc>
        <w:tc>
          <w:tcPr>
            <w:tcW w:type="dxa" w:w="5112"/>
            <w:vAlign w:val="center"/>
          </w:tcPr>
          <w:p>
            <w:r/>
            <w:r>
              <w:rPr>
                <w:b w:val="0"/>
                <w:sz w:val="17"/>
              </w:rPr>
              <w:t>VM</w:t>
            </w:r>
          </w:p>
        </w:tc>
      </w:tr>
      <w:tr>
        <w:tc>
          <w:tcPr>
            <w:tcW w:type="dxa" w:w="5112"/>
            <w:vAlign w:val="center"/>
          </w:tcPr>
          <w:p>
            <w:r/>
            <w:r>
              <w:rPr>
                <w:b w:val="0"/>
                <w:sz w:val="17"/>
              </w:rPr>
              <w:t>Build status</w:t>
            </w:r>
          </w:p>
        </w:tc>
        <w:tc>
          <w:tcPr>
            <w:tcW w:type="dxa" w:w="5112"/>
            <w:vAlign w:val="center"/>
          </w:tcPr>
          <w:p>
            <w:r/>
            <w:r>
              <w:rPr>
                <w:b w:val="0"/>
                <w:sz w:val="17"/>
              </w:rPr>
              <w:t>Successful</w:t>
            </w:r>
          </w:p>
        </w:tc>
      </w:tr>
      <w:tr>
        <w:tc>
          <w:tcPr>
            <w:tcW w:type="dxa" w:w="5112"/>
            <w:vAlign w:val="center"/>
          </w:tcPr>
          <w:p>
            <w:r/>
            <w:r>
              <w:rPr>
                <w:b w:val="0"/>
                <w:sz w:val="17"/>
              </w:rPr>
              <w:t>Visibility</w:t>
            </w:r>
          </w:p>
        </w:tc>
        <w:tc>
          <w:tcPr>
            <w:tcW w:type="dxa" w:w="5112"/>
            <w:vAlign w:val="center"/>
          </w:tcPr>
          <w:p>
            <w:r/>
            <w:r>
              <w:rPr>
                <w:b w:val="0"/>
                <w:sz w:val="17"/>
              </w:rPr>
              <w:t>Public</w:t>
            </w:r>
          </w:p>
        </w:tc>
      </w:tr>
      <w:tr>
        <w:tc>
          <w:tcPr>
            <w:tcW w:type="dxa" w:w="5112"/>
            <w:vAlign w:val="center"/>
          </w:tcPr>
          <w:p>
            <w:r/>
            <w:r>
              <w:rPr>
                <w:b w:val="0"/>
                <w:sz w:val="17"/>
              </w:rPr>
              <w:t>Primary URL</w:t>
            </w:r>
          </w:p>
        </w:tc>
        <w:tc>
          <w:tcPr>
            <w:tcW w:type="dxa" w:w="5112"/>
            <w:vAlign w:val="center"/>
          </w:tcPr>
          <w:p>
            <w:r/>
            <w:r>
              <w:rPr>
                <w:b w:val="0"/>
                <w:sz w:val="17"/>
              </w:rPr>
              <w:t>https://prayag-sales.com</w:t>
            </w:r>
          </w:p>
        </w:tc>
      </w:tr>
      <w:tr>
        <w:tc>
          <w:tcPr>
            <w:tcW w:type="dxa" w:w="5112"/>
            <w:vAlign w:val="center"/>
          </w:tcPr>
          <w:p>
            <w:r/>
            <w:r>
              <w:rPr>
                <w:b w:val="0"/>
                <w:sz w:val="17"/>
              </w:rPr>
              <w:t>Public root</w:t>
            </w:r>
          </w:p>
        </w:tc>
        <w:tc>
          <w:tcPr>
            <w:tcW w:type="dxa" w:w="5112"/>
            <w:vAlign w:val="center"/>
          </w:tcPr>
          <w:p>
            <w:r/>
            <w:r>
              <w:rPr>
                <w:b w:val="0"/>
                <w:sz w:val="17"/>
              </w:rPr>
              <w:t>HTTP 200, HTML returned</w:t>
            </w:r>
          </w:p>
        </w:tc>
      </w:tr>
      <w:tr>
        <w:tc>
          <w:tcPr>
            <w:tcW w:type="dxa" w:w="5112"/>
            <w:vAlign w:val="center"/>
          </w:tcPr>
          <w:p>
            <w:r/>
            <w:r>
              <w:rPr>
                <w:b w:val="0"/>
                <w:sz w:val="17"/>
              </w:rPr>
              <w:t>Authenticated /api root</w:t>
            </w:r>
          </w:p>
        </w:tc>
        <w:tc>
          <w:tcPr>
            <w:tcW w:type="dxa" w:w="5112"/>
            <w:vAlign w:val="center"/>
          </w:tcPr>
          <w:p>
            <w:r/>
            <w:r>
              <w:rPr>
                <w:b w:val="0"/>
                <w:sz w:val="17"/>
              </w:rPr>
              <w:t>HTTP 401 Authentication required — expected</w:t>
            </w:r>
          </w:p>
        </w:tc>
      </w:tr>
      <w:tr>
        <w:tc>
          <w:tcPr>
            <w:tcW w:type="dxa" w:w="5112"/>
            <w:vAlign w:val="center"/>
          </w:tcPr>
          <w:p>
            <w:r/>
            <w:r>
              <w:rPr>
                <w:b w:val="0"/>
                <w:sz w:val="17"/>
              </w:rPr>
              <w:t>Server startup</w:t>
            </w:r>
          </w:p>
        </w:tc>
        <w:tc>
          <w:tcPr>
            <w:tcW w:type="dxa" w:w="5112"/>
            <w:vAlign w:val="center"/>
          </w:tcPr>
          <w:p>
            <w:r/>
            <w:r>
              <w:rPr>
                <w:b w:val="0"/>
                <w:sz w:val="17"/>
              </w:rPr>
              <w:t>Listening on port 8080</w:t>
            </w:r>
          </w:p>
        </w:tc>
      </w:tr>
      <w:tr>
        <w:tc>
          <w:tcPr>
            <w:tcW w:type="dxa" w:w="5112"/>
            <w:vAlign w:val="center"/>
          </w:tcPr>
          <w:p>
            <w:r/>
            <w:r>
              <w:rPr>
                <w:b w:val="0"/>
                <w:sz w:val="17"/>
              </w:rPr>
              <w:t>Fatal errors after listening</w:t>
            </w:r>
          </w:p>
        </w:tc>
        <w:tc>
          <w:tcPr>
            <w:tcW w:type="dxa" w:w="5112"/>
            <w:vAlign w:val="center"/>
          </w:tcPr>
          <w:p>
            <w:r/>
            <w:r>
              <w:rPr>
                <w:b w:val="0"/>
                <w:sz w:val="17"/>
              </w:rPr>
              <w:t>None found</w:t>
            </w:r>
          </w:p>
        </w:tc>
      </w:tr>
    </w:tbl>
    <w:p>
      <w:pPr>
        <w:spacing w:after="20"/>
      </w:pPr>
    </w:p>
    <w:p>
      <w:r>
        <w:t>Startup was successful but not warning-free. Seasonal-curve recalibration was withheld because FY2025–26 remains legacy_unclassified; the approved checked-in calibration was retained, so this warning did not prevent startup or alter the active curve.</w:t>
      </w:r>
    </w:p>
    <w:p>
      <w:pPr>
        <w:pStyle w:val="Heading1"/>
      </w:pPr>
      <w:r>
        <w:t>9. Current consistency assessment</w:t>
      </w:r>
    </w:p>
    <w:p>
      <w:pPr>
        <w:pStyle w:val="ListBullet"/>
        <w:spacing w:after="40"/>
      </w:pPr>
      <w:r>
        <w:t>087 is recorded and register_monthly_ingest_ledger now exists.</w:t>
      </w:r>
    </w:p>
    <w:p>
      <w:pPr>
        <w:pStyle w:val="ListBullet"/>
        <w:spacing w:after="40"/>
      </w:pPr>
      <w:r>
        <w:t>088 is recorded and the expanded outcome constraint exists.</w:t>
      </w:r>
    </w:p>
    <w:p>
      <w:pPr>
        <w:pStyle w:val="ListBullet"/>
        <w:spacing w:after="40"/>
      </w:pPr>
      <w:r>
        <w:t>All audited objects from migrations 079 through 088 are present.</w:t>
      </w:r>
    </w:p>
    <w:p>
      <w:pPr>
        <w:pStyle w:val="ListBullet"/>
        <w:spacing w:after="40"/>
      </w:pPr>
      <w:r>
        <w:t>No current migration-recorded/object-missing inconsistency was found in the audited range or named production-only objects.</w:t>
      </w:r>
    </w:p>
    <w:p>
      <w:pPr>
        <w:pStyle w:val="ListBullet"/>
        <w:spacing w:after="40"/>
      </w:pPr>
      <w:r>
        <w:t>The unresolved incident evidence is the loss of the original pre-12:49 ledger audit history.</w:t>
      </w:r>
    </w:p>
    <w:p>
      <w:pPr>
        <w:pStyle w:val="Heading1"/>
      </w:pPr>
      <w:r>
        <w:t>Safety conclusion</w:t>
      </w:r>
    </w:p>
    <w:p>
      <w:r>
        <w:rPr>
          <w:b/>
          <w:color w:val="C00000"/>
        </w:rPr>
        <w:t>Do not attempt further repair or restoration until the handling of the lost ledger history is explicitly decided.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Prayag Sales Intelligence • Read-only production incident evidence • 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