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120 — Pre-Publish Verification Report</w:t>
      </w:r>
    </w:p>
    <w:p>
      <w:r/>
      <w:r>
        <w:rPr>
          <w:b/>
        </w:rPr>
        <w:t>Date:</w:t>
      </w:r>
      <w:r>
        <w:t xml:space="preserve"> 19 September 2026</w:t>
      </w:r>
    </w:p>
    <w:p>
      <w:r/>
      <w:r>
        <w:rPr>
          <w:b/>
        </w:rPr>
        <w:t>Status:</w:t>
      </w:r>
      <w:r>
        <w:t xml:space="preserve"> GitHub push verified; ready for publication. H2 remains open pending production checks 1–5 and C5.</w:t>
      </w:r>
    </w:p>
    <w:p>
      <w:pPr>
        <w:pStyle w:val="Heading1"/>
      </w:pPr>
      <w:r>
        <w:t>1. GitHub push verification</w:t>
      </w:r>
    </w:p>
    <w:p>
      <w:r>
        <w:t>origin/main now points to:</w:t>
      </w:r>
    </w:p>
    <w:p>
      <w:pPr>
        <w:ind w:left="432"/>
      </w:pPr>
      <w:r>
        <w:rPr>
          <w:rFonts w:ascii="Consolas" w:hAnsi="Consolas"/>
          <w:color w:val="3C3C3C"/>
          <w:sz w:val="17"/>
        </w:rPr>
        <w:t>6da8bfa8b5289bde3f6cbc6c47d8606d0293e8a7 refs/heads/main</w:t>
      </w:r>
    </w:p>
    <w:p>
      <w:r>
        <w:t>This remote commit contains:</w:t>
      </w:r>
    </w:p>
    <w:p>
      <w:pPr>
        <w:pStyle w:val="ListBullet"/>
      </w:pPr>
      <w:r>
        <w:t>ea2ef9e3bc8e42b41aff1768fec7d41b2fbc56e8 — Prompt 120 implementation</w:t>
      </w:r>
    </w:p>
    <w:p>
      <w:pPr>
        <w:pStyle w:val="ListBullet"/>
      </w:pPr>
      <w:r>
        <w:t>a1222798 — Prompt 119 publish marker</w:t>
      </w:r>
    </w:p>
    <w:p>
      <w:pPr>
        <w:pStyle w:val="ListBullet"/>
      </w:pPr>
      <w:r>
        <w:t>ff0548f — Prompt 119 August data and adapter work</w:t>
      </w:r>
    </w:p>
    <w:p>
      <w:pPr>
        <w:pStyle w:val="Heading1"/>
      </w:pPr>
      <w:r>
        <w:t>2. B1 — Outside-5% breakdown</w:t>
      </w:r>
    </w:p>
    <w:p>
      <w:r>
        <w:t>The production database has moved since the original 553 codes / ₹3.88 Cr observation:</w:t>
      </w:r>
    </w:p>
    <w:p>
      <w:pPr>
        <w:pStyle w:val="ListBullet"/>
      </w:pPr>
      <w:r>
        <w:t>History-backed rows only: ₹3.63 Cr</w:t>
      </w:r>
    </w:p>
    <w:p>
      <w:pPr>
        <w:pStyle w:val="ListBullet"/>
      </w:pPr>
      <w:r>
        <w:t>Current active-catalogue fallback included: 645 codes, 5,572 rows, ₹4.78 Cr</w:t>
      </w:r>
    </w:p>
    <w:p>
      <w:r>
        <w:t>That movement is the closed-month instability addressed by C1–C3.</w:t>
      </w:r>
    </w:p>
    <w:p>
      <w:pPr>
        <w:pStyle w:val="Heading2"/>
      </w:pPr>
      <w:r>
        <w:t>Largest history-backed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Master category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Sub-category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MRP source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Effective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Codes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1481"/>
            <w:shd w:fill="D9EAF7"/>
            <w:vAlign w:val="center"/>
          </w:tcPr>
          <w:p>
            <w:r>
              <w:rPr>
                <w:b/>
                <w:sz w:val="16"/>
              </w:rPr>
              <w:t>Median ratio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C.P. 5000 SERIES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₹1.06 Cr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0.9144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C.P. 6000 SERIES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₹1.00 Cr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0.9228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C.P-CDA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₹68.92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0.9026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C.P. 7000 SERIES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₹38.40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0.9137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C.P. 8000 SERIES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₹21.31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0.9086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C.P. 9000 SERIES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CP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w.e.f. 01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₹13.37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0.9089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PTMT SYMET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PTMT/Faucets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PTMT MRP 5 Mar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5 Mar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₹5.31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1.1607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PTMT SYMET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PTMT/Faucets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New CP MRP 1 Aug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Aug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₹2.38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0.9286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Sanitaryware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Sanitaryware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Sanitaryware MRP 1 May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May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₹2.29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1.1514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UPVC Aquafresh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UPVC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Pipe &amp; Fitting MRP 1 Feb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Feb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₹1.90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2.0213</w:t>
            </w:r>
          </w:p>
        </w:tc>
      </w:tr>
      <w:tr>
        <w:tc>
          <w:tcPr>
            <w:tcW w:type="dxa" w:w="1481"/>
          </w:tcPr>
          <w:p>
            <w:r>
              <w:rPr>
                <w:sz w:val="16"/>
              </w:rPr>
              <w:t>SWR Draintech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SWR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Pipe &amp; Fitting MRP 1 Feb 2026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1 Feb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₹1.62 L</w:t>
            </w:r>
          </w:p>
        </w:tc>
        <w:tc>
          <w:tcPr>
            <w:tcW w:type="dxa" w:w="1481"/>
          </w:tcPr>
          <w:p>
            <w:r>
              <w:rPr>
                <w:sz w:val="16"/>
              </w:rPr>
              <w:t>2.0850</w:t>
            </w:r>
          </w:p>
        </w:tc>
      </w:tr>
    </w:tbl>
    <w:p>
      <w:pPr>
        <w:spacing w:after="20"/>
      </w:pPr>
    </w:p>
    <w:p>
      <w:pPr>
        <w:pStyle w:val="Heading2"/>
      </w:pPr>
      <w:r>
        <w:t>Rows now affected by the active API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6"/>
              </w:rPr>
              <w:t>Declared effective date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6"/>
              </w:rPr>
              <w:t>Codes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b/>
                <w:sz w:val="16"/>
              </w:rPr>
              <w:t>Median ratio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S. Steel Sink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Sep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₹61.87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0.9266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Water Tanks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Feb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₹20.42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1.2500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PVC Garden Pipe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Sep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₹18.69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0.9256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UPVC Aquafresh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 Aug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₹11.97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0.7597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Cockroach Traps &amp; Gratings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 Sep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₹1.30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0.9438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CPVC Duralife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 Aug 2026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₹0.22 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0.9311</w:t>
            </w:r>
          </w:p>
        </w:tc>
      </w:tr>
    </w:tbl>
    <w:p>
      <w:pPr>
        <w:spacing w:after="20"/>
      </w:pPr>
    </w:p>
    <w:p>
      <w:r>
        <w:t>After Prompt 120 is published, August uses its transaction-date generation instead of today's active catalogue.</w:t>
      </w:r>
    </w:p>
    <w:p>
      <w:pPr>
        <w:pStyle w:val="Heading1"/>
      </w:pPr>
      <w:r>
        <w:t>3. B2 — 1 August revision</w:t>
      </w:r>
    </w:p>
    <w:p>
      <w:pPr>
        <w:pStyle w:val="ListBullet"/>
      </w:pPr>
      <w:r>
        <w:t>438 outside-5% codes were revised effective 1 August 2026.</w:t>
      </w:r>
    </w:p>
    <w:p>
      <w:pPr>
        <w:pStyle w:val="ListBullet"/>
      </w:pPr>
      <w:r>
        <w:t>437 of 438 still have modal CRM implied MRP within 0.5% of the previous mrp_history price.</w:t>
      </w:r>
    </w:p>
    <w:p>
      <w:pPr>
        <w:pStyle w:val="ListBullet"/>
      </w:pPr>
      <w:r>
        <w:t>292 codes match the previous price exactly to the cent.</w:t>
      </w:r>
    </w:p>
    <w:p>
      <w:pPr>
        <w:pStyle w:val="ListBullet"/>
      </w:pPr>
      <w:r>
        <w:t>August Product-Wise value: ₹3,50,86,059.</w:t>
      </w:r>
    </w:p>
    <w:p>
      <w:r>
        <w:t>This strongly supports the finding that the CRM largely continued using the pre-revision price after the 1 August revision.</w:t>
      </w:r>
    </w:p>
    <w:p>
      <w:pPr>
        <w:pStyle w:val="Heading2"/>
      </w:pPr>
      <w:r>
        <w:t>Code 5306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6"/>
              </w:rPr>
              <w:t>Measure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Previous history price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₹1,040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 August catalogue price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₹1,140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CRM modal implied MRP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₹1,040</w:t>
            </w:r>
          </w:p>
        </w:tc>
      </w:tr>
    </w:tbl>
    <w:p>
      <w:pPr>
        <w:spacing w:after="20"/>
      </w:pPr>
    </w:p>
    <w:p>
      <w:r>
        <w:t>No figures were changed because of this finding.</w:t>
      </w:r>
    </w:p>
    <w:p>
      <w:pPr>
        <w:pStyle w:val="Heading1"/>
      </w:pPr>
      <w:r>
        <w:t>4. C5 stability comparison</w:t>
      </w:r>
    </w:p>
    <w:p>
      <w:r>
        <w:t>C5 must run after publication because production needs the immutable-generation migration and transaction-date fallback first.</w:t>
      </w:r>
    </w:p>
    <w:p>
      <w:pPr>
        <w:pStyle w:val="ListNumber"/>
      </w:pPr>
      <w:r>
        <w:t>Take a production B3 snapshot immediately after publication and migration verification.</w:t>
      </w:r>
    </w:p>
    <w:p>
      <w:pPr>
        <w:pStyle w:val="ListNumber"/>
      </w:pPr>
      <w:r>
        <w:t>Take a second snapshot at least one hour later.</w:t>
      </w:r>
    </w:p>
    <w:p>
      <w:pPr>
        <w:pStyle w:val="ListNumber"/>
      </w:pPr>
      <w:r>
        <w:t>Compare rows, codes and values field by field.</w:t>
      </w:r>
    </w:p>
    <w:p>
      <w:r>
        <w:t>H2 remains open until C5 and production checks 1–5 pass.</w:t>
      </w:r>
    </w:p>
    <w:p>
      <w:pPr>
        <w:pStyle w:val="Heading1"/>
      </w:pPr>
      <w:r>
        <w:t>5. D2 — Unresolved employee codes</w:t>
      </w:r>
    </w:p>
    <w:p>
      <w:r>
        <w:t>After excluding the deterministic HR-resolved Ashutosh Kumar case: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6"/>
              </w:rPr>
              <w:t>Employee code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6"/>
              </w:rPr>
              <w:t>Sales User Name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SHAIK JANI BASHA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345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₹17,00,809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341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K.V.THAMIZHSELVAN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353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₹13,70,253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340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JITHENDER REDDY KATUKURI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₹7,49,625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350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PAWAN KUMAR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₹4,69,566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NJ-6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BASHARAT MAJEED MAGLOO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₹4,44,284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TANINKI RAMESH BABU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₹3,12,837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616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SAMIR SENGUPTA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₹1,29,146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NJ-7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ABHISHEKGOUD .K. PATIL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₹23,170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NJ-5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KRISHNA KUMAR K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₹5,364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1,137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₹52,05,054</w:t>
            </w:r>
          </w:p>
        </w:tc>
      </w:tr>
    </w:tbl>
    <w:p>
      <w:pPr>
        <w:spacing w:after="20"/>
      </w:pPr>
    </w:p>
    <w:p>
      <w:r>
        <w:t>None were guessed or automatically assigned.</w:t>
      </w:r>
    </w:p>
    <w:p>
      <w:pPr>
        <w:pStyle w:val="Heading1"/>
      </w:pPr>
      <w:r>
        <w:t>6. D4 — Head-name variants</w:t>
      </w:r>
    </w:p>
    <w:p>
      <w:pPr>
        <w:pStyle w:val="Heading2"/>
      </w:pPr>
      <w:r>
        <w:t>Proposed mappings — not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6"/>
              </w:rPr>
              <w:t>Variant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  <w:sz w:val="16"/>
              </w:rPr>
              <w:t>Proposed canonical name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Aqil Rizvi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Syed Aqil Rizvi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Pawan Sharma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Pawan Kumar Sharma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Narendra Sharma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Narendra Kumar Sharma</w:t>
            </w:r>
          </w:p>
        </w:tc>
      </w:tr>
    </w:tbl>
    <w:p>
      <w:pPr>
        <w:spacing w:after="20"/>
      </w:pPr>
    </w:p>
    <w:p>
      <w:pPr>
        <w:pStyle w:val="Heading2"/>
      </w:pPr>
      <w:r>
        <w:t>Aqil and Sandeep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Registry state-head name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Aqil Rizvi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2,837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₹1.056 Cr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Syed Aqil Rizvi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3,305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₹1.900 Cr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Combined Aqil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6,142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₹2.956 Cr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Sandeep Dadheech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9,707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₹9.129 Cr</w:t>
            </w:r>
          </w:p>
        </w:tc>
      </w:tr>
    </w:tbl>
    <w:p>
      <w:pPr>
        <w:spacing w:after="20"/>
      </w:pPr>
    </w:p>
    <w:p>
      <w:r>
        <w:t>Development already resolves the two Aqil variants together at ₹2.956 Cr. The variants explain an Aqil label split, but do not by themselves explain a ₹1.65 Cr transfer from Sandeep to Aqil. The remaining offset involves person-registry identity linkage and territory/member attribution.</w:t>
      </w:r>
    </w:p>
    <w:p>
      <w:pPr>
        <w:pStyle w:val="Heading2"/>
      </w:pPr>
      <w:r>
        <w:t>Pawan</w:t>
      </w:r>
    </w:p>
    <w:p>
      <w:pPr>
        <w:pStyle w:val="ListBullet"/>
      </w:pPr>
      <w:r>
        <w:t>secondary_head_month uses Pawan Sharma and reports ₹0.</w:t>
      </w:r>
    </w:p>
    <w:p>
      <w:pPr>
        <w:pStyle w:val="ListBullet"/>
      </w:pPr>
      <w:r>
        <w:t>Product-Wise identity resolution maps 524 rows / ₹29,57,156 to Pawan Kumar Sharma.</w:t>
      </w:r>
    </w:p>
    <w:p>
      <w:r>
        <w:t>The name variant explains the visible ₹0 versus ₹29.57 L discrepancy because the two independent sources use different canonical head names.</w:t>
      </w:r>
    </w:p>
    <w:p>
      <w:pPr>
        <w:pStyle w:val="Heading2"/>
      </w:pPr>
      <w:r>
        <w:t>Narendra</w:t>
      </w:r>
    </w:p>
    <w:p>
      <w:r>
        <w:t>Narendra Sharma and Narendra Kumar Sharma both exist in the registry, and no common alias currently merges them. Current production evidence has no corresponding non-zero August secondary_head_month row, so this is an identity-risk mapping but does not explain the measured Sandeep/Aqil offset.</w:t>
      </w:r>
    </w:p>
    <w:p>
      <w:pPr>
        <w:pStyle w:val="Heading1"/>
      </w:pPr>
      <w:r>
        <w:t>7. D5 — Sandeep's three August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Surface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6"/>
              </w:rPr>
              <w:t>Attribution basis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Distributor Deep Dive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₹11.70 Cr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Retailer/customer to distributor attribution from member working-sheet/distributor mapping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Sales Deep Dive Product-Wise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₹9.21 Cr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Product-Wise secondary_order_line.basic_order_value through employee/person/member identity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 table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₹9.17 Cr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secondary_head_month.ordered_amount matched to the Sales Deep Dive member roster</w:t>
            </w:r>
          </w:p>
        </w:tc>
      </w:tr>
    </w:tbl>
    <w:p>
      <w:pPr>
        <w:spacing w:after="20"/>
      </w:pPr>
    </w:p>
    <w:p>
      <w:pPr>
        <w:pStyle w:val="Heading2"/>
      </w:pPr>
      <w:r>
        <w:t>Why ₹11.70 Cr differs from ₹9.21 Cr</w:t>
      </w:r>
    </w:p>
    <w:p>
      <w:r>
        <w:t>They use different attribution systems. ₹11.70 Cr follows assigned distributors/customers. ₹9.21 Cr follows Product-Wise employee/member identity. Unmapped employees, customer ownership and different source coverage prevent direct interchangeability. The UI now labels these bases.</w:t>
      </w:r>
    </w:p>
    <w:p>
      <w:pPr>
        <w:pStyle w:val="Heading2"/>
      </w:pPr>
      <w:r>
        <w:t>Why ₹9.21 Cr differs from ₹9.17 Cr</w:t>
      </w:r>
    </w:p>
    <w:p>
      <w:r>
        <w:t>The Product-Wise figure uses individual secondary_order_line.basic_order_value rows. E uses pre-aggregated secondary_head_month.ordered_amount member rows, limited to members matched to the Sales Deep Dive roster. The approximately ₹4 L difference is not rounding; it comes from rows that pass Product-Wise person attribution but do not cross-foot identically through the E-table member/head-month basis.</w:t>
      </w:r>
    </w:p>
    <w:p>
      <w:r>
        <w:t>Current production tables have moved since those observations. A direct current reconstruction returns approximately ₹9.129 Cr for Product-Wise Sandeep and ₹11.042 Cr for the raw Sandeep secondary_head_month state-head total. The historical ₹9.21/₹9.17 operands therefore cannot be reconstructed truthfully from today's mutable pre-Prompt-120 state alone. Prompt 120's immutable generation and explicit basis labels prevent this ambiguity going forward.</w:t>
      </w:r>
    </w:p>
    <w:p>
      <w:pPr>
        <w:pStyle w:val="Heading1"/>
      </w:pPr>
      <w:r>
        <w:t>8. Publication instruction</w:t>
      </w:r>
    </w:p>
    <w:p>
      <w:r>
        <w:t>The required commits are on GitHub. Publish origin/main at:</w:t>
      </w:r>
    </w:p>
    <w:p>
      <w:pPr>
        <w:ind w:left="432"/>
      </w:pPr>
      <w:r>
        <w:rPr>
          <w:rFonts w:ascii="Consolas" w:hAnsi="Consolas"/>
          <w:color w:val="3C3C3C"/>
          <w:sz w:val="17"/>
        </w:rPr>
        <w:t>6da8bfa8b5289bde3f6cbc6c47d8606d0293e8a7</w:t>
      </w:r>
    </w:p>
    <w:p>
      <w:r>
        <w:t>After publication:</w:t>
      </w:r>
    </w:p>
    <w:p>
      <w:pPr>
        <w:pStyle w:val="ListNumber"/>
      </w:pPr>
      <w:r>
        <w:t>Run production checks 1–5.</w:t>
      </w:r>
    </w:p>
    <w:p>
      <w:pPr>
        <w:pStyle w:val="ListNumber"/>
      </w:pPr>
      <w:r>
        <w:t>Capture screenshots for checks 1 and 4.</w:t>
      </w:r>
    </w:p>
    <w:p>
      <w:pPr>
        <w:pStyle w:val="ListNumber"/>
      </w:pPr>
      <w:r>
        <w:t>Run the hour-separated C5 comparison.</w:t>
      </w:r>
    </w:p>
    <w:p>
      <w:pPr>
        <w:pStyle w:val="ListNumber"/>
      </w:pPr>
      <w:r>
        <w:t>Close H2 only if all five checks and C5 pass.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Prompt 120 — Pre-Publish Verification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