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AI Sales Plan</w:t>
      </w:r>
    </w:p>
    <w:p>
      <w:pPr>
        <w:jc w:val="center"/>
      </w:pPr>
      <w:r>
        <w:rPr>
          <w:b/>
          <w:color w:val="2F5597"/>
          <w:sz w:val="26"/>
        </w:rPr>
        <w:t>Prompt 101 — Section A Read-Only Findings and Revised Design</w:t>
      </w:r>
    </w:p>
    <w:p>
      <w:pPr>
        <w:jc w:val="center"/>
      </w:pPr>
      <w:r>
        <w:rPr>
          <w:i/>
        </w:rPr>
        <w:t>Analysis date: 16 September 2026  |  Proposed page: /ai-sales-plan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</w:rPr>
              <w:t xml:space="preserve">Scope: </w:t>
            </w:r>
            <w:r>
              <w:t>Read-only analysis only. No application code, database rows, or page behavior was changed. Every figure below names its source.</w:t>
            </w:r>
          </w:p>
        </w:tc>
      </w:tr>
    </w:tbl>
    <w:p>
      <w:pPr>
        <w:spacing w:after="20"/>
      </w:pPr>
    </w:p>
    <w:p>
      <w:pPr>
        <w:pStyle w:val="Heading1"/>
      </w:pPr>
      <w:r>
        <w:t>Executive findings</w:t>
      </w:r>
    </w:p>
    <w:p>
      <w:pPr>
        <w:pStyle w:val="ListBullet"/>
      </w:pPr>
      <w:r>
        <w:t>Customer history is usable: FY2025-26 secondary SKU quantity and value are complete at row level, and stopped-SKU pitches are directly measurable.</w:t>
      </w:r>
    </w:p>
    <w:p>
      <w:pPr>
        <w:pStyle w:val="ListBullet"/>
      </w:pPr>
      <w:r>
        <w:t>Same-distributor should remain the default peer basis because the current FY2026-27 SKU source carries a distributor for all 6,314 active RET# retailers. Large cohorts should be refined by annual-value quintile.</w:t>
      </w:r>
    </w:p>
    <w:p>
      <w:pPr>
        <w:pStyle w:val="ListBullet"/>
      </w:pPr>
      <w:r>
        <w:t>The 31-subcategory registry supports broad adjacency, but it cannot yet distinguish CPVC pipe from CPVC fittings.</w:t>
      </w:r>
    </w:p>
    <w:p>
      <w:pPr>
        <w:pStyle w:val="ListBullet"/>
      </w:pPr>
      <w:r>
        <w:t>State-versus-India SKU ranking is available from primary sale_line_current, not reliable secondary geography. It must be labelled primary dispatch demand.</w:t>
      </w:r>
    </w:p>
    <w:p>
      <w:pPr>
        <w:pStyle w:val="ListBullet"/>
      </w:pPr>
      <w:r>
        <w:t>The earlier H2 warning is stale: August 2026 is no longer empty, but it is partial; September secondary SKU is unavailable.</w:t>
      </w:r>
    </w:p>
    <w:p>
      <w:pPr>
        <w:pStyle w:val="ListBullet"/>
      </w:pPr>
      <w:r>
        <w:t>A minimum of 10 distinct SKUs and 3 active months is recommended for history-driven recommendations.</w:t>
      </w:r>
    </w:p>
    <w:p>
      <w:pPr>
        <w:pStyle w:val="ListBullet"/>
      </w:pPr>
      <w:r>
        <w:t>The live primary 80% threshold is now 566 codes / ₹110.99 Cr, not the supplied 560-code / ₹107.54 Cr reference. The page needs a versioned portfolio snapshot.</w:t>
      </w:r>
    </w:p>
    <w:p>
      <w:pPr>
        <w:pStyle w:val="Heading1"/>
      </w:pPr>
      <w:r>
        <w:t>A1. The customer’s own history</w:t>
      </w:r>
    </w:p>
    <w:p>
      <w:r>
        <w:rPr>
          <w:b/>
        </w:rPr>
        <w:t xml:space="preserve">Source: </w:t>
      </w:r>
      <w:r>
        <w:t>secondary_sku_line. FY2025-26 RET# is held in retailer; FY2026-27 RET# is held in retailer_id while retailer is the display 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Retailer</w:t>
            </w:r>
          </w:p>
        </w:tc>
        <w:tc>
          <w:tcPr>
            <w:tcW w:type="dxa" w:w="208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FY2025-26</w:t>
            </w:r>
          </w:p>
        </w:tc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FY2026-27 available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Stopped SKUs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FY25 core / rest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Nirman Sales (RET#16632)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485 SKUs; 12 months; ₹1.58 Cr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6"/>
              </w:rPr>
              <w:t>300 SKUs; 4 months; ₹66.62 L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191 / 294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>
              <w:rPr>
                <w:sz w:val="16"/>
              </w:rPr>
              <w:t>Ayan Enterprise (RET#9690)</w:t>
            </w:r>
          </w:p>
        </w:tc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144 SKUs; 12 months; ₹1.37 Cr</w:t>
            </w:r>
          </w:p>
        </w:tc>
        <w:tc>
          <w:tcPr>
            <w:tcW w:type="dxa" w:w="2232"/>
            <w:vAlign w:val="center"/>
            <w:shd w:fill="EAF2F8"/>
          </w:tcPr>
          <w:p>
            <w:r>
              <w:rPr>
                <w:sz w:val="16"/>
              </w:rPr>
              <w:t>57 SKUs; 5 months; ₹46.90 L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73 / 71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Srikrishna Sanitary &amp; Pipe Fittings (RET#46891)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320 SKUs; 11 months; ₹1.18 Cr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6"/>
              </w:rPr>
              <w:t>216 SKUs; 4 months; ₹75.89 L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150 / 170</w:t>
            </w:r>
          </w:p>
        </w:tc>
      </w:tr>
    </w:tbl>
    <w:p>
      <w:pPr>
        <w:spacing w:after="20"/>
      </w:pPr>
    </w:p>
    <w:p>
      <w:r>
        <w:rPr>
          <w:b/>
        </w:rPr>
        <w:t xml:space="preserve">Measure basis: </w:t>
      </w:r>
      <w:r>
        <w:t>value = secondary_sku_line.net_amount; quantity = secondary_sku_line.qty. “Stopped” means a prior-FY SKU has no current-FY row, not that its value is unavailable.</w:t>
      </w:r>
    </w:p>
    <w:p>
      <w:pPr>
        <w:pStyle w:val="Heading2"/>
      </w:pPr>
      <w:r>
        <w:t>Strongest stopped-SKU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Retailer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SKU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FY25 qty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FY25 value</w:t>
            </w:r>
          </w:p>
        </w:tc>
        <w:tc>
          <w:tcPr>
            <w:tcW w:type="dxa" w:w="86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Months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Portfolio rank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822-D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₹1,12,871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190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H821-D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₹71,490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BEA-40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₹64,989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517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U526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2,000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₹60,192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186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C732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₹57,160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249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3272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8,000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₹3,04,560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75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BEA-11S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1,000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₹1,33,540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BS-89SS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₹1,13,400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Outside 560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1821-C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292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₹1,03,693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132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7812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₹91,544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Outside 560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PW71S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₹2,08,827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Outside 560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PW11S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215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₹1,08,482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364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123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540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₹77,673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PS-13</w:t>
            </w:r>
          </w:p>
        </w:tc>
        <w:tc>
          <w:tcPr>
            <w:tcW w:type="dxa" w:w="1008"/>
            <w:vAlign w:val="center"/>
            <w:shd w:fill="EAF2F8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₹52,290</w:t>
            </w:r>
          </w:p>
        </w:tc>
        <w:tc>
          <w:tcPr>
            <w:tcW w:type="dxa" w:w="864"/>
            <w:vAlign w:val="center"/>
            <w:shd w:fill="EAF2F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₹48,530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77</w:t>
            </w:r>
          </w:p>
        </w:tc>
      </w:tr>
    </w:tbl>
    <w:p>
      <w:pPr>
        <w:spacing w:after="20"/>
      </w:pPr>
    </w:p>
    <w:p>
      <w:pPr>
        <w:pStyle w:val="Heading1"/>
      </w:pPr>
      <w:r>
        <w:t>A2. Peer sets</w:t>
      </w:r>
    </w:p>
    <w:p>
      <w:r>
        <w:rPr>
          <w:b/>
        </w:rPr>
        <w:t xml:space="preserve">Sources: </w:t>
      </w:r>
      <w:r>
        <w:t>same distributor = secondary_sku_line.distributor; state = customer_master.state; size = FY2025-26 secondary_sku_line.net_amount quintile.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Retailer</w:t>
            </w:r>
          </w:p>
        </w:tc>
        <w:tc>
          <w:tcPr>
            <w:tcW w:type="dxa" w:w="194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Distributor peers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State peers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Size peers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259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Odisha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1,814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944"/>
            <w:vAlign w:val="center"/>
            <w:shd w:fill="EAF2F8"/>
          </w:tcPr>
          <w:p>
            <w:r>
              <w:rPr>
                <w:sz w:val="16"/>
              </w:rPr>
              <w:t>218 across 2 distributors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866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rPr>
                <w:sz w:val="16"/>
              </w:rPr>
              <w:t>West Bengal</w:t>
            </w:r>
          </w:p>
        </w:tc>
        <w:tc>
          <w:tcPr>
            <w:tcW w:type="dxa" w:w="1440"/>
            <w:vAlign w:val="center"/>
            <w:shd w:fill="EAF2F8"/>
          </w:tcPr>
          <w:p>
            <w:r>
              <w:rPr>
                <w:sz w:val="16"/>
              </w:rPr>
              <w:t>1,814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866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West Bengal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1,814</w:t>
            </w:r>
          </w:p>
        </w:tc>
      </w:tr>
    </w:tbl>
    <w:p>
      <w:pPr>
        <w:spacing w:after="20"/>
      </w:pPr>
    </w:p>
    <w:p>
      <w:pPr>
        <w:pStyle w:val="ListBullet"/>
      </w:pPr>
      <w:r>
        <w:t>6,314/6,314 current active RET# retailers have a distributor value: 100%.</w:t>
      </w:r>
    </w:p>
    <w:p>
      <w:pPr>
        <w:pStyle w:val="ListBullet"/>
      </w:pPr>
      <w:r>
        <w:t>6,174/6,314 match a nonblank customer_master state: 97.78%.</w:t>
      </w:r>
    </w:p>
    <w:p>
      <w:pPr>
        <w:pStyle w:val="ListBullet"/>
      </w:pPr>
      <w:r>
        <w:t>State values still contain aliases and are not fully canonicalized.</w:t>
      </w:r>
    </w:p>
    <w:p>
      <w:pPr>
        <w:pStyle w:val="ListBullet"/>
      </w:pPr>
      <w:r>
        <w:t>National size quintile alone is too broad; the sample cohort is 1,814 retailers.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Recommendation: </w:t>
            </w:r>
            <w:r>
              <w:t>Lead with exact same-distributor peers. Show all contributing distributors. When the cohort exceeds about 40 retailers, refine it by FY2025-26 value quintile. Keep state as a secondary toggle after canonical normalization.</w:t>
            </w:r>
          </w:p>
        </w:tc>
      </w:tr>
    </w:tbl>
    <w:p>
      <w:pPr>
        <w:spacing w:after="20"/>
      </w:pPr>
    </w:p>
    <w:p>
      <w:pPr>
        <w:pStyle w:val="Heading1"/>
      </w:pPr>
      <w:r>
        <w:t>A3. Adjacency</w:t>
      </w:r>
    </w:p>
    <w:p>
      <w:r>
        <w:rPr>
          <w:b/>
        </w:rPr>
        <w:t xml:space="preserve">Source: </w:t>
      </w:r>
      <w:r>
        <w:t>prompt68-category-registry.json — 10,417 code assignments across 31 subcategories, joined to secondary_sku_line.item_code.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Retailer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FY2025-26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FY2026-27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Across both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Nirman Sales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15/31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15/31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15/31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sz w:val="16"/>
              </w:rPr>
              <w:t>Ayan Enterprise</w:t>
            </w:r>
          </w:p>
        </w:tc>
        <w:tc>
          <w:tcPr>
            <w:tcW w:type="dxa" w:w="1584"/>
            <w:vAlign w:val="center"/>
            <w:shd w:fill="EAF2F8"/>
          </w:tcPr>
          <w:p>
            <w:r>
              <w:rPr>
                <w:sz w:val="16"/>
              </w:rPr>
              <w:t>10/31</w:t>
            </w:r>
          </w:p>
        </w:tc>
        <w:tc>
          <w:tcPr>
            <w:tcW w:type="dxa" w:w="1584"/>
            <w:vAlign w:val="center"/>
            <w:shd w:fill="EAF2F8"/>
          </w:tcPr>
          <w:p>
            <w:r>
              <w:rPr>
                <w:sz w:val="16"/>
              </w:rPr>
              <w:t>8/31</w:t>
            </w:r>
          </w:p>
        </w:tc>
        <w:tc>
          <w:tcPr>
            <w:tcW w:type="dxa" w:w="1584"/>
            <w:vAlign w:val="center"/>
            <w:shd w:fill="EAF2F8"/>
          </w:tcPr>
          <w:p>
            <w:r>
              <w:rPr>
                <w:sz w:val="16"/>
              </w:rPr>
              <w:t>10/31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Srikrishna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15/31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14/31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  <w:t>15/31</w:t>
            </w:r>
          </w:p>
        </w:tc>
      </w:tr>
    </w:tbl>
    <w:p>
      <w:pPr>
        <w:spacing w:after="20"/>
      </w:pPr>
    </w:p>
    <w:p>
      <w:pPr>
        <w:pStyle w:val="ListBullet"/>
      </w:pPr>
      <w:r>
        <w:t>Nirman is missing Water Tank, Garden Pipe, PPR, HDPE Pipe, Hardware, and Cabinet.</w:t>
      </w:r>
    </w:p>
    <w:p>
      <w:pPr>
        <w:pStyle w:val="ListBullet"/>
      </w:pPr>
      <w:r>
        <w:t>Ayan is missing CPVC, SWR, Sanitaryware, Water Tank, Garden Pipe, PPR, and Agriculture.</w:t>
      </w:r>
    </w:p>
    <w:p>
      <w:pPr>
        <w:pStyle w:val="ListBullet"/>
      </w:pPr>
      <w:r>
        <w:t>Srikrishna is missing PPR, HDPE Pipe, Hardware, Floor Trap, Cabinet, and Teflon Tape.</w:t>
      </w:r>
    </w:p>
    <w:p>
      <w:pPr>
        <w:pStyle w:val="ListBullet"/>
      </w:pPr>
      <w:r>
        <w:t>Sample code-to-subcategory coverage ranges from 97.2% to 100%; unmatched codes must remain “subcategory unavailable.”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</w:rPr>
              <w:t xml:space="preserve">Design correction: </w:t>
            </w:r>
            <w:r>
              <w:t>The approved 31-subcategory registry contains CPVC but does not split CPVC pipe from CPVC fittings. Category-level adjacency is defensible; pipe-versus-fitting pitches require a reviewed code-level split first.</w:t>
            </w:r>
          </w:p>
        </w:tc>
      </w:tr>
    </w:tbl>
    <w:p>
      <w:pPr>
        <w:spacing w:after="20"/>
      </w:pPr>
    </w:p>
    <w:p>
      <w:pPr>
        <w:pStyle w:val="Heading1"/>
      </w:pPr>
      <w:r>
        <w:t>A4. State versus India demand</w:t>
      </w:r>
    </w:p>
    <w:p>
      <w:r>
        <w:rPr>
          <w:b/>
        </w:rPr>
        <w:t xml:space="preserve">Source: </w:t>
      </w:r>
      <w:r>
        <w:t>sale_line_current grouped by code and state_canon. This is primary dispatch, not retailer secondary demand or consumer sell-through.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State-bearing rows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State-bearing value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Coverage dates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FY2025-26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99.24%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98.91%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1 Apr 2025–31 Mar 2026</w:t>
            </w:r>
          </w:p>
        </w:tc>
      </w:tr>
      <w:tr>
        <w:tc>
          <w:tcPr>
            <w:tcW w:type="dxa" w:w="1728"/>
            <w:vAlign w:val="center"/>
            <w:shd w:fill="EAF2F8"/>
          </w:tcPr>
          <w:p>
            <w:r>
              <w:rPr>
                <w:sz w:val="16"/>
              </w:rPr>
              <w:t>FY2026-27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2016"/>
            <w:vAlign w:val="center"/>
            <w:shd w:fill="EAF2F8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2880"/>
            <w:vAlign w:val="center"/>
            <w:shd w:fill="EAF2F8"/>
          </w:tcPr>
          <w:p>
            <w:r>
              <w:rPr>
                <w:sz w:val="16"/>
              </w:rPr>
              <w:t>6 Apr–15 Sep 2026</w:t>
            </w:r>
          </w:p>
        </w:tc>
      </w:tr>
    </w:tbl>
    <w:p>
      <w:pPr>
        <w:spacing w:after="20"/>
      </w:pPr>
    </w:p>
    <w:p>
      <w:r>
        <w:t>The source can provide state and India quantity, value, and rank. Before release, normalize aliases such as UP (A), UP (AS), and DELHI A, and exclude non-state scopes such as Project/Govt, GEM, and JJM from state rankings.</w:t>
      </w:r>
    </w:p>
    <w:p>
      <w:r>
        <w:t>Secondary SKU cannot currently provide a reliable state-level ranking because its state_canon values are largely state-head names rather than states.</w:t>
      </w:r>
    </w:p>
    <w:p>
      <w:pPr>
        <w:pStyle w:val="Heading1"/>
      </w:pPr>
      <w:r>
        <w:t>A5. Quantity and current-period availability</w:t>
      </w:r>
    </w:p>
    <w:p>
      <w:pPr>
        <w:pStyle w:val="ListBullet"/>
      </w:pPr>
      <w:r>
        <w:t>FY2025-26: 379,439/379,439 secondary_sku_line rows have quantity and value; 4,053 distinct SKUs.</w:t>
      </w:r>
    </w:p>
    <w:p>
      <w:pPr>
        <w:pStyle w:val="ListBullet"/>
      </w:pPr>
      <w:r>
        <w:t>August 2026 is not empty: 8,602 rows, 1,108 retailers, ₹5.64 Cr.</w:t>
      </w:r>
    </w:p>
    <w:p>
      <w:pPr>
        <w:pStyle w:val="ListBullet"/>
      </w:pPr>
      <w:r>
        <w:t>The August source file is dated 19 August 2026, so August is partial.</w:t>
      </w:r>
    </w:p>
    <w:p>
      <w:pPr>
        <w:pStyle w:val="ListBullet"/>
      </w:pPr>
      <w:r>
        <w:t>FY2026-27 secondary SKU currently covers April–August; September is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Dynamic warning text: </w:t>
            </w:r>
            <w:r>
              <w:t>Secondary SKU history is available through partial August 2026; September is unavailable.</w:t>
            </w:r>
          </w:p>
        </w:tc>
      </w:tr>
    </w:tbl>
    <w:p>
      <w:pPr>
        <w:spacing w:after="20"/>
      </w:pPr>
    </w:p>
    <w:p>
      <w:pPr>
        <w:pStyle w:val="Heading1"/>
      </w:pPr>
      <w:r>
        <w:t>A6. Minimum usable history</w:t>
      </w:r>
    </w:p>
    <w:p>
      <w:r>
        <w:rPr>
          <w:b/>
        </w:rPr>
        <w:t xml:space="preserve">Source: </w:t>
      </w:r>
      <w:r>
        <w:t>FY2025-26 secondary_sku_line across 9,078 RET# histories.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Percentile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Distinct SKUs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Active months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10th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25th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Median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75th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60"/>
            <w:vAlign w:val="center"/>
            <w:shd w:fill="EAF2F8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6"/>
              </w:rPr>
              <w:t>90th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History bucket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Retailers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Under 5 SKUs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1,859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sz w:val="16"/>
              </w:rPr>
              <w:t>5–9 SKUs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rPr>
                <w:sz w:val="16"/>
              </w:rPr>
              <w:t>1,675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10–19 SKUs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2,037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sz w:val="16"/>
              </w:rPr>
              <w:t>20–49 SKUs</w:t>
            </w:r>
          </w:p>
        </w:tc>
        <w:tc>
          <w:tcPr>
            <w:tcW w:type="dxa" w:w="1728"/>
            <w:vAlign w:val="center"/>
            <w:shd w:fill="EAF2F8"/>
          </w:tcPr>
          <w:p>
            <w:r>
              <w:rPr>
                <w:sz w:val="16"/>
              </w:rPr>
              <w:t>2,224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50+ SKUs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1,283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Recommended threshold: </w:t>
            </w:r>
            <w:r>
              <w:t>At least 10 distinct SKUs and 3 active months. This qualifies 4,279/9,078 retailers (47.14%). Below it, show known purchases but label the pattern “limited history” and withhold change-based recommendations.</w:t>
            </w:r>
          </w:p>
        </w:tc>
      </w:tr>
    </w:tbl>
    <w:p>
      <w:pPr>
        <w:spacing w:after="20"/>
      </w:pPr>
    </w:p>
    <w:p>
      <w:pPr>
        <w:pStyle w:val="Heading1"/>
      </w:pPr>
      <w:r>
        <w:t>Revised page design</w:t>
      </w:r>
    </w:p>
    <w:p>
      <w:pPr>
        <w:pStyle w:val="ListBullet"/>
      </w:pPr>
      <w:r>
        <w:t>Treat the specification as six tabs, despite the “five tabs” sentence.</w:t>
      </w:r>
    </w:p>
    <w:p>
      <w:pPr>
        <w:pStyle w:val="ListBullet"/>
      </w:pPr>
      <w:r>
        <w:t>Tab 1: show full FY2025-26, FY2025-26 like-for-like YTD, and FY2026-27 YTD. Calculate change only on comparable months.</w:t>
      </w:r>
    </w:p>
    <w:p>
      <w:pPr>
        <w:pStyle w:val="ListBullet"/>
      </w:pPr>
      <w:r>
        <w:t>Tab 2: default to same-distributor peers; refine by size quintile when cohorts are large.</w:t>
      </w:r>
    </w:p>
    <w:p>
      <w:pPr>
        <w:pStyle w:val="ListBullet"/>
      </w:pPr>
      <w:r>
        <w:t>Tab 3: always display peer basis, contributing distributors, and peer count.</w:t>
      </w:r>
    </w:p>
    <w:p>
      <w:pPr>
        <w:pStyle w:val="ListBullet"/>
      </w:pPr>
      <w:r>
        <w:t>Tab 4: use category-level adjacency initially; do not claim pipe-versus-fitting adjacency yet.</w:t>
      </w:r>
    </w:p>
    <w:p>
      <w:pPr>
        <w:pStyle w:val="ListBullet"/>
      </w:pPr>
      <w:r>
        <w:t>Tab 5: use sale_line_current and label every measure as primary dispatch. Normalize state aliases before ranking.</w:t>
      </w:r>
    </w:p>
    <w:p>
      <w:pPr>
        <w:pStyle w:val="ListBullet"/>
      </w:pPr>
      <w:r>
        <w:t>Tab 6: keep the same state/India dual columns, but label unavailable state measures instead of displaying zero.</w:t>
      </w:r>
    </w:p>
    <w:p>
      <w:pPr>
        <w:pStyle w:val="ListBullet"/>
      </w:pPr>
      <w:r>
        <w:t>Derive period and source warnings from current data; do not hardcode the former July/August warning.</w:t>
      </w:r>
    </w:p>
    <w:p>
      <w:pPr>
        <w:pStyle w:val="ListBullet"/>
      </w:pPr>
      <w:r>
        <w:t>Export one workbook per customer, with source/basis columns and unavailable-value reasons.</w:t>
      </w:r>
    </w:p>
    <w:p>
      <w:pPr>
        <w:pStyle w:val="Heading1"/>
      </w:pPr>
      <w:r>
        <w:t>Top-80 portfolio decision required before C2</w:t>
      </w:r>
    </w:p>
    <w:p>
      <w:r>
        <w:t>The prompt supplies a 560-code / ₹107.54 Cr reference. Current FY2026-27 sale_line_current requires 566 codes to cross 80%, totaling ₹110.99 Cr through 15 September 2026. A versioned snapshot is safer than a live threshold that changes during the selling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57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Versioned current snapshot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6"/>
              </w:rPr>
              <w:t>Use 566 codes and freeze the source date/period in the page and export.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>
              <w:rPr>
                <w:sz w:val="16"/>
              </w:rPr>
              <w:t>Supplied reference snapshot</w:t>
            </w:r>
          </w:p>
        </w:tc>
        <w:tc>
          <w:tcPr>
            <w:tcW w:type="dxa" w:w="5760"/>
            <w:vAlign w:val="center"/>
            <w:shd w:fill="EAF2F8"/>
          </w:tcPr>
          <w:p>
            <w:r>
              <w:rPr>
                <w:sz w:val="16"/>
              </w:rPr>
              <w:t>Keep 560 codes and ₹107.54 Cr, labelled with its approved snapshot basis.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Prayag Sales Intelligence — Prompt 101 read-only design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482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