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Sales Deep Dive - Phase 3-C: capacity model correction</w:t>
      </w:r>
    </w:p>
    <w:p>
      <w:pPr>
        <w:spacing w:after="160"/>
      </w:pPr>
      <w:r>
        <w:rPr>
          <w:i/>
          <w:iCs/>
          <w:color w:val="555555"/>
        </w:rPr>
        <w:t xml:space="preserve">Submit after Phase 4 lands. One block, on its own, as with every other phase.</w:t>
      </w:r>
    </w:p>
    <w:p>
      <w:pPr>
        <w:pStyle w:val="Heading2"/>
        <w:spacing w:after="80" w:before="220"/>
      </w:pPr>
      <w:r>
        <w:rPr>
          <w:b/>
          <w:bCs/>
        </w:rPr>
        <w:t xml:space="preserve">Why this correction</w:t>
      </w:r>
    </w:p>
    <w:p>
      <w:pPr>
        <w:spacing w:after="100"/>
      </w:pPr>
      <w:r>
        <w:t xml:space="preserve">Phase 3 passed its four structural checks (395 visits done, 1,704 required, 28 visited with zero order, shortfall surfaced not hidden). Those stand. But the agent changed a modelling assumption on its own and the headline gap roughly doubled, from about 220 to 429. Half its reasoning was right and half broke a house rule.</w:t>
      </w:r>
    </w:p>
    <w:p>
      <w:pPr>
        <w:spacing w:after="80"/>
      </w:pPr>
      <w:r>
        <w:rPr>
          <w:b/>
          <w:bCs/>
        </w:rPr>
        <w:t xml:space="preserve">Right: </w:t>
      </w:r>
      <w:r>
        <w:t xml:space="preserve">counting actual Mon-Sat calendar days beats a 24-days-a-month rule of thumb.</w:t>
      </w:r>
    </w:p>
    <w:p>
      <w:pPr>
        <w:spacing w:after="80"/>
      </w:pPr>
      <w:r>
        <w:rPr>
          <w:b/>
          <w:bCs/>
        </w:rPr>
        <w:t xml:space="preserve">Wrong: </w:t>
      </w:r>
      <w:r>
        <w:t xml:space="preserve">it used today's date to size the elapsed window. Prasun's data ends 30 June 2026, so dividing Q1 visits by 97 days - three weeks of which contain no visits - understates his rate and inflates the gap. Numerator and denominator must cover the same population.</w:t>
      </w:r>
    </w:p>
    <w:p>
      <w:pPr>
        <w:spacing w:after="100"/>
      </w:pPr>
      <w:r>
        <w:t xml:space="preserve">The cutoff is provable, not a judgement call. In his FY2026-27 monthly tab the July columns are zero, and April + May + June Order Booked sums to exactly 2,621,109 and Sales Received to 2,613,934 - the totals Phase 2 already verified. The window is Q1, so the denominator is 78 Mon-Sat days, not 97, and the demonstrated rate is 5.06 visits per day, not 4.07.</w:t>
      </w:r>
    </w:p>
    <w:p>
      <w:pPr>
        <w:pStyle w:val="Heading2"/>
        <w:spacing w:after="80" w:before="220"/>
      </w:pPr>
      <w:r>
        <w:rPr>
          <w:b/>
          <w:bCs/>
        </w:rPr>
        <w:t xml:space="preserve">The deeper fix: change the anchor, not just the divisor</w:t>
      </w:r>
    </w:p>
    <w:p>
      <w:pPr>
        <w:spacing w:after="100"/>
      </w:pPr>
      <w:r>
        <w:t xml:space="preserve">Projecting any quarterly daily rate across a full year is the same error the agent made, just with a better divisor. A year contains leave, festivals, travel and dead weeks that a strong Q1 does not. His own closed years prove it: his full-year rate was 4.55 visits per day in FY2025-26 against a Q1 rate of 5.06.</w:t>
      </w:r>
    </w:p>
    <w:p>
      <w:pPr>
        <w:spacing w:after="100"/>
      </w:pPr>
      <w:r>
        <w:t xml:space="preserve">So the capacity anchor should be demonstrated ANNUAL capacity from the closed years - 1,043 visits in FY2024-25 and 1,423 in FY2025-26 - which already embeds all of that. The daily rate stays, but only as a pace check.</w:t>
      </w:r>
    </w:p>
    <w:p>
      <w:pPr>
        <w:pStyle w:val="Heading2"/>
        <w:spacing w:after="80" w:before="220"/>
      </w:pPr>
      <w:r>
        <w:rPr>
          <w:b/>
          <w:bCs/>
        </w:rPr>
        <w:t xml:space="preserve">The reframe this produces</w:t>
      </w:r>
    </w:p>
    <w:p>
      <w:pPr>
        <w:spacing w:after="100"/>
      </w:pPr>
      <w:r>
        <w:t xml:space="preserve">A bare shortfall of 429 reads as failure. The three-year view says something different, and it is the thing a State Head can actually act on:</w:t>
      </w:r>
    </w:p>
    <w:p>
      <w:pPr>
        <w:spacing w:after="40"/>
        <w:ind w:left="360"/>
      </w:pPr>
      <w:r>
        <w:t xml:space="preserve">- FY2024-25: 104 retailers, 1,534 visits required, 1,043 done - 68.0 percent coverage</w:t>
      </w:r>
    </w:p>
    <w:p>
      <w:pPr>
        <w:spacing w:after="40"/>
        <w:ind w:left="360"/>
      </w:pPr>
      <w:r>
        <w:t xml:space="preserve">- FY2025-26: 94 retailers, 2,343 required, 1,423 done - 60.7 percent coverage</w:t>
      </w:r>
    </w:p>
    <w:p>
      <w:pPr>
        <w:spacing w:after="40"/>
        <w:ind w:left="360"/>
      </w:pPr>
      <w:r>
        <w:t xml:space="preserve">- FY2026-27: 73 retailers, 1,704 required - about 83 percent if he repeats last year's effort</w:t>
      </w:r>
    </w:p>
    <w:p>
      <w:pPr>
        <w:spacing w:after="100"/>
      </w:pPr>
      <w:r>
        <w:t xml:space="preserve">He has never met the visit requirement; the gap is structural, not this year's lapse. Coverage fell in FY2025-26 because the requirement per retailer was raised from 14.8 to 24.9 while his actual effort ROSE 36 percent (1,043 to 1,423). Judging him on coverage alone would be backwards. With the requirement now cut to 1,704, repeating last year's effort would be his best coverage in three years.</w:t>
      </w:r>
    </w:p>
    <w:p>
      <w:pPr>
        <w:pStyle w:val="Heading1"/>
        <w:spacing w:after="120" w:before="240"/>
      </w:pPr>
      <w:r>
        <w:rPr>
          <w:b/>
          <w:bCs/>
        </w:rPr>
        <w:t xml:space="preserve">Phase 3-C prompt</w:t>
      </w:r>
    </w:p>
    <w:p>
      <w:pPr>
        <w:spacing w:after="20" w:before="100"/>
      </w:pPr>
      <w:r>
        <w:rPr>
          <w:b/>
          <w:bCs/>
          <w:i/>
          <w:iCs/>
          <w:color w:val="444444"/>
        </w:rPr>
        <w:t xml:space="preserve">PROMPT - Phase 3-C (copy the box below)</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7"/>
          <w:szCs w:val="17"/>
        </w:rPr>
        <w:t xml:space="preserve">Prayag app - Sales Deep Dive, Phase 3-C, a correction to Phase 3. Same global rules</w:t>
      </w:r>
      <w:r>
        <w:rPr>
          <w:rFonts w:ascii="Courier New" w:cs="Courier New" w:eastAsia="Courier New" w:hAnsi="Courier New"/>
          <w:sz w:val="17"/>
          <w:szCs w:val="17"/>
        </w:rPr>
        <w:br/>
        <w:t xml:space="preserve">as every earlier phase. Do not change Phases 1, 2 or 4.</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Goal: fix the capacity model. Phase 3 sized the elapsed window from today's date</w:t>
      </w:r>
      <w:r>
        <w:rPr>
          <w:rFonts w:ascii="Courier New" w:cs="Courier New" w:eastAsia="Courier New" w:hAnsi="Courier New"/>
          <w:sz w:val="17"/>
          <w:szCs w:val="17"/>
        </w:rPr>
        <w:br/>
        <w:t xml:space="preserve">(97 Mon-Sat days), but the member's visit and sales data ends 30 June 2026. That</w:t>
      </w:r>
      <w:r>
        <w:rPr>
          <w:rFonts w:ascii="Courier New" w:cs="Courier New" w:eastAsia="Courier New" w:hAnsi="Courier New"/>
          <w:sz w:val="17"/>
          <w:szCs w:val="17"/>
        </w:rPr>
        <w:br/>
        <w:t xml:space="preserve">inflated the shortfall from about 281 to 429. Fix the window, then change the</w:t>
      </w:r>
      <w:r>
        <w:rPr>
          <w:rFonts w:ascii="Courier New" w:cs="Courier New" w:eastAsia="Courier New" w:hAnsi="Courier New"/>
          <w:sz w:val="17"/>
          <w:szCs w:val="17"/>
        </w:rPr>
        <w:br/>
        <w:t xml:space="preserve">capacity anchor from a daily rate to demonstrated annual capacity.</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1. Derive the data cutoff from the data. Never assume today.</w:t>
      </w:r>
      <w:r>
        <w:rPr>
          <w:rFonts w:ascii="Courier New" w:cs="Courier New" w:eastAsia="Courier New" w:hAnsi="Courier New"/>
          <w:sz w:val="17"/>
          <w:szCs w:val="17"/>
        </w:rPr>
        <w:br/>
        <w:t xml:space="preserve">   In the member's monthly tab ('2026-27'), the cutoff is the last month holding any</w:t>
      </w:r>
      <w:r>
        <w:rPr>
          <w:rFonts w:ascii="Courier New" w:cs="Courier New" w:eastAsia="Courier New" w:hAnsi="Courier New"/>
          <w:sz w:val="17"/>
          <w:szCs w:val="17"/>
        </w:rPr>
        <w:br/>
        <w:t xml:space="preserve">   non-zero Order Booked or Sales Received. For Prasun that is June 2026: the July</w:t>
      </w:r>
      <w:r>
        <w:rPr>
          <w:rFonts w:ascii="Courier New" w:cs="Courier New" w:eastAsia="Courier New" w:hAnsi="Courier New"/>
          <w:sz w:val="17"/>
          <w:szCs w:val="17"/>
        </w:rPr>
        <w:br/>
        <w:t xml:space="preserve">   columns are zero, and Apr + May + Jun Order Booked sums to 2,621,109 with Sales</w:t>
      </w:r>
      <w:r>
        <w:rPr>
          <w:rFonts w:ascii="Courier New" w:cs="Courier New" w:eastAsia="Courier New" w:hAnsi="Courier New"/>
          <w:sz w:val="17"/>
          <w:szCs w:val="17"/>
        </w:rPr>
        <w:br/>
        <w:t xml:space="preserve">   Received 2,613,934. Store the cutoff on the response and show it in the UI.</w:t>
      </w:r>
      <w:r>
        <w:rPr>
          <w:rFonts w:ascii="Courier New" w:cs="Courier New" w:eastAsia="Courier New" w:hAnsi="Courier New"/>
          <w:sz w:val="17"/>
          <w:szCs w:val="17"/>
        </w:rPr>
        <w:br/>
        <w:t xml:space="preserve">   Remove every use of today() from the elapsed-window calculation.</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2. Use the same window on both sides of any rate.</w:t>
      </w:r>
      <w:r>
        <w:rPr>
          <w:rFonts w:ascii="Courier New" w:cs="Courier New" w:eastAsia="Courier New" w:hAnsi="Courier New"/>
          <w:sz w:val="17"/>
          <w:szCs w:val="17"/>
        </w:rPr>
        <w:br/>
        <w:t xml:space="preserve">   Elapsed working days = Mon-Sat days from 1 Apr to the cutoff = 78, not 97.</w:t>
      </w:r>
      <w:r>
        <w:rPr>
          <w:rFonts w:ascii="Courier New" w:cs="Courier New" w:eastAsia="Courier New" w:hAnsi="Courier New"/>
          <w:sz w:val="17"/>
          <w:szCs w:val="17"/>
        </w:rPr>
        <w:br/>
        <w:t xml:space="preserve">   Demonstrated rate = 395 / 78 = 5.06 visits per day.</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3. Change the capacity anchor to demonstrated ANNUAL capacity from the closed years.</w:t>
      </w:r>
      <w:r>
        <w:rPr>
          <w:rFonts w:ascii="Courier New" w:cs="Courier New" w:eastAsia="Courier New" w:hAnsi="Courier New"/>
          <w:sz w:val="17"/>
          <w:szCs w:val="17"/>
        </w:rPr>
        <w:br/>
        <w:t xml:space="preserve">   A quarterly rate ignores leave, festivals and dead weeks; a closed year does not.</w:t>
      </w:r>
      <w:r>
        <w:rPr>
          <w:rFonts w:ascii="Courier New" w:cs="Courier New" w:eastAsia="Courier New" w:hAnsi="Courier New"/>
          <w:sz w:val="17"/>
          <w:szCs w:val="17"/>
        </w:rPr>
        <w:br/>
        <w:t xml:space="preserve">   Read the member's closed-year totals from his own file:</w:t>
      </w:r>
      <w:r>
        <w:rPr>
          <w:rFonts w:ascii="Courier New" w:cs="Courier New" w:eastAsia="Courier New" w:hAnsi="Courier New"/>
          <w:sz w:val="17"/>
          <w:szCs w:val="17"/>
        </w:rPr>
        <w:br/>
        <w:t xml:space="preserve">     'Summary Report 24-25' -&gt; visits required 1,534, total visits 1,043</w:t>
      </w:r>
      <w:r>
        <w:rPr>
          <w:rFonts w:ascii="Courier New" w:cs="Courier New" w:eastAsia="Courier New" w:hAnsi="Courier New"/>
          <w:sz w:val="17"/>
          <w:szCs w:val="17"/>
        </w:rPr>
        <w:br/>
        <w:t xml:space="preserve">     'Summary Report 25-26' -&gt; visits required 2,343, total visits 1,423</w:t>
      </w:r>
      <w:r>
        <w:rPr>
          <w:rFonts w:ascii="Courier New" w:cs="Courier New" w:eastAsia="Courier New" w:hAnsi="Courier New"/>
          <w:sz w:val="17"/>
          <w:szCs w:val="17"/>
        </w:rPr>
        <w:br/>
        <w:t xml:space="preserve">   IMPORTANT: the column positions differ between those two tabs. Locate the columns</w:t>
      </w:r>
      <w:r>
        <w:rPr>
          <w:rFonts w:ascii="Courier New" w:cs="Courier New" w:eastAsia="Courier New" w:hAnsi="Courier New"/>
          <w:sz w:val="17"/>
          <w:szCs w:val="17"/>
        </w:rPr>
        <w:br/>
        <w:t xml:space="preserve">   by matching the header text on row 5 ('No. of Visits Required', 'Total Visit'),</w:t>
      </w:r>
      <w:r>
        <w:rPr>
          <w:rFonts w:ascii="Courier New" w:cs="Courier New" w:eastAsia="Courier New" w:hAnsi="Courier New"/>
          <w:sz w:val="17"/>
          <w:szCs w:val="17"/>
        </w:rPr>
        <w:br/>
        <w:t xml:space="preserve">   never by hardcoded column letters. Re-sum from the retailer rows and reconcile to</w:t>
      </w:r>
      <w:r>
        <w:rPr>
          <w:rFonts w:ascii="Courier New" w:cs="Courier New" w:eastAsia="Courier New" w:hAnsi="Courier New"/>
          <w:sz w:val="17"/>
          <w:szCs w:val="17"/>
        </w:rPr>
        <w:br/>
        <w:t xml:space="preserve">   the TOTAL row (row 4) as an audit anchor; report any mismatch rather than</w:t>
      </w:r>
      <w:r>
        <w:rPr>
          <w:rFonts w:ascii="Courier New" w:cs="Courier New" w:eastAsia="Courier New" w:hAnsi="Courier New"/>
          <w:sz w:val="17"/>
          <w:szCs w:val="17"/>
        </w:rPr>
        <w:br/>
        <w:t xml:space="preserve">   silently trusting the TOTAL row.</w:t>
      </w:r>
      <w:r>
        <w:rPr>
          <w:rFonts w:ascii="Courier New" w:cs="Courier New" w:eastAsia="Courier New" w:hAnsi="Courier New"/>
          <w:sz w:val="17"/>
          <w:szCs w:val="17"/>
        </w:rPr>
        <w:br/>
        <w:t xml:space="preserve">   Once Phase 6 freezes the closed years into the database, serve these two figures</w:t>
      </w:r>
      <w:r>
        <w:rPr>
          <w:rFonts w:ascii="Courier New" w:cs="Courier New" w:eastAsia="Courier New" w:hAnsi="Courier New"/>
          <w:sz w:val="17"/>
          <w:szCs w:val="17"/>
        </w:rPr>
        <w:br/>
        <w:t xml:space="preserve">   from the database and stop reading Sheets for them.</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4. Report the projection as a band with each assumption named, not one number.</w:t>
      </w:r>
      <w:r>
        <w:rPr>
          <w:rFonts w:ascii="Courier New" w:cs="Courier New" w:eastAsia="Courier New" w:hAnsi="Courier New"/>
          <w:sz w:val="17"/>
          <w:szCs w:val="17"/>
        </w:rPr>
        <w:br/>
        <w:t xml:space="preserve">   Remaining required = 1,704 - 395 = 1,309. Remaining Mon-Sat days from 1 Jul 2026</w:t>
      </w:r>
      <w:r>
        <w:rPr>
          <w:rFonts w:ascii="Courier New" w:cs="Courier New" w:eastAsia="Courier New" w:hAnsi="Courier New"/>
          <w:sz w:val="17"/>
          <w:szCs w:val="17"/>
        </w:rPr>
        <w:br/>
        <w:t xml:space="preserve">   to 31 Mar 2027 = 235.</w:t>
      </w:r>
      <w:r>
        <w:rPr>
          <w:rFonts w:ascii="Courier New" w:cs="Courier New" w:eastAsia="Courier New" w:hAnsi="Courier New"/>
          <w:sz w:val="17"/>
          <w:szCs w:val="17"/>
        </w:rPr>
        <w:br/>
        <w:t xml:space="preserve">     Central      - repeats last year's demonstrated capacity:</w:t>
      </w:r>
      <w:r>
        <w:rPr>
          <w:rFonts w:ascii="Courier New" w:cs="Courier New" w:eastAsia="Courier New" w:hAnsi="Courier New"/>
          <w:sz w:val="17"/>
          <w:szCs w:val="17"/>
        </w:rPr>
        <w:br/>
        <w:t xml:space="preserve">                    annual 1,423, remaining 1,028, gap -281</w:t>
      </w:r>
      <w:r>
        <w:rPr>
          <w:rFonts w:ascii="Courier New" w:cs="Courier New" w:eastAsia="Courier New" w:hAnsi="Courier New"/>
          <w:sz w:val="17"/>
          <w:szCs w:val="17"/>
        </w:rPr>
        <w:br/>
        <w:t xml:space="preserve">     Optimistic   - Q1 rate held to year end:</w:t>
      </w:r>
      <w:r>
        <w:rPr>
          <w:rFonts w:ascii="Courier New" w:cs="Courier New" w:eastAsia="Courier New" w:hAnsi="Courier New"/>
          <w:sz w:val="17"/>
          <w:szCs w:val="17"/>
        </w:rPr>
        <w:br/>
        <w:t xml:space="preserve">                    annual 1,585, remaining 1,190, gap -119</w:t>
      </w:r>
      <w:r>
        <w:rPr>
          <w:rFonts w:ascii="Courier New" w:cs="Courier New" w:eastAsia="Courier New" w:hAnsi="Courier New"/>
          <w:sz w:val="17"/>
          <w:szCs w:val="17"/>
        </w:rPr>
        <w:br/>
        <w:t xml:space="preserve">     Conservative - Q1 share of last year's booking seasonality:</w:t>
      </w:r>
      <w:r>
        <w:rPr>
          <w:rFonts w:ascii="Courier New" w:cs="Courier New" w:eastAsia="Courier New" w:hAnsi="Courier New"/>
          <w:sz w:val="17"/>
          <w:szCs w:val="17"/>
        </w:rPr>
        <w:br/>
        <w:t xml:space="preserve">                    annual 1,116, remaining 721, gap -588</w:t>
      </w:r>
      <w:r>
        <w:rPr>
          <w:rFonts w:ascii="Courier New" w:cs="Courier New" w:eastAsia="Courier New" w:hAnsi="Courier New"/>
          <w:sz w:val="17"/>
          <w:szCs w:val="17"/>
        </w:rPr>
        <w:br/>
        <w:t xml:space="preserve">   Label the central case as the planning basis. Keep showing the gap explicitly.</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5. Distribute remaining capacity by closed-year seasonality, not evenly.</w:t>
      </w:r>
      <w:r>
        <w:rPr>
          <w:rFonts w:ascii="Courier New" w:cs="Courier New" w:eastAsia="Courier New" w:hAnsi="Courier New"/>
          <w:sz w:val="17"/>
          <w:szCs w:val="17"/>
        </w:rPr>
        <w:br/>
        <w:t xml:space="preserve">   Compute each month's share of annual Order Booked from the '2025-26' monthly tab</w:t>
      </w:r>
      <w:r>
        <w:rPr>
          <w:rFonts w:ascii="Courier New" w:cs="Courier New" w:eastAsia="Courier New" w:hAnsi="Courier New"/>
          <w:sz w:val="17"/>
          <w:szCs w:val="17"/>
        </w:rPr>
        <w:br/>
        <w:t xml:space="preserve">   and apply that shape to the remaining months. Q1 was about 35 percent of last</w:t>
      </w:r>
      <w:r>
        <w:rPr>
          <w:rFonts w:ascii="Courier New" w:cs="Courier New" w:eastAsia="Courier New" w:hAnsi="Courier New"/>
          <w:sz w:val="17"/>
          <w:szCs w:val="17"/>
        </w:rPr>
        <w:br/>
        <w:t xml:space="preserve">   year's booking; November was under 4 percent. Do not spread capacity evenly.</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6. Make the plan span match the days credited.</w:t>
      </w:r>
      <w:r>
        <w:rPr>
          <w:rFonts w:ascii="Courier New" w:cs="Courier New" w:eastAsia="Courier New" w:hAnsi="Courier New"/>
          <w:sz w:val="17"/>
          <w:szCs w:val="17"/>
        </w:rPr>
        <w:br/>
        <w:t xml:space="preserve">   Phase 3 credited 216 remaining days but generated month plans for Aug-Mar only</w:t>
      </w:r>
      <w:r>
        <w:rPr>
          <w:rFonts w:ascii="Courier New" w:cs="Courier New" w:eastAsia="Courier New" w:hAnsi="Courier New"/>
          <w:sz w:val="17"/>
          <w:szCs w:val="17"/>
        </w:rPr>
        <w:br/>
        <w:t xml:space="preserve">   (208 days). The feasibility figure and the month plans must cover the same span.</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7. Add a three-year coverage view.</w:t>
      </w:r>
      <w:r>
        <w:rPr>
          <w:rFonts w:ascii="Courier New" w:cs="Courier New" w:eastAsia="Courier New" w:hAnsi="Courier New"/>
          <w:sz w:val="17"/>
          <w:szCs w:val="17"/>
        </w:rPr>
        <w:br/>
        <w:t xml:space="preserve">     FY2024-25: 104 retailers, 1,534 required, 1,043 done, 68.0 percent</w:t>
      </w:r>
      <w:r>
        <w:rPr>
          <w:rFonts w:ascii="Courier New" w:cs="Courier New" w:eastAsia="Courier New" w:hAnsi="Courier New"/>
          <w:sz w:val="17"/>
          <w:szCs w:val="17"/>
        </w:rPr>
        <w:br/>
        <w:t xml:space="preserve">     FY2025-26:  94 retailers, 2,343 required, 1,423 done, 60.7 percent</w:t>
      </w:r>
      <w:r>
        <w:rPr>
          <w:rFonts w:ascii="Courier New" w:cs="Courier New" w:eastAsia="Courier New" w:hAnsi="Courier New"/>
          <w:sz w:val="17"/>
          <w:szCs w:val="17"/>
        </w:rPr>
        <w:br/>
        <w:t xml:space="preserve">     FY2026-27:  73 retailers, 1,704 required, tracking against the band above</w:t>
      </w:r>
      <w:r>
        <w:rPr>
          <w:rFonts w:ascii="Courier New" w:cs="Courier New" w:eastAsia="Courier New" w:hAnsi="Courier New"/>
          <w:sz w:val="17"/>
          <w:szCs w:val="17"/>
        </w:rPr>
        <w:br/>
        <w:t xml:space="preserve">   Include visits required per retailer per year (14.8, 24.9, 23.3) so the reader</w:t>
      </w:r>
      <w:r>
        <w:rPr>
          <w:rFonts w:ascii="Courier New" w:cs="Courier New" w:eastAsia="Courier New" w:hAnsi="Courier New"/>
          <w:sz w:val="17"/>
          <w:szCs w:val="17"/>
        </w:rPr>
        <w:br/>
        <w:t xml:space="preserve">   can see coverage fell because the requirement was raised while actual effort rose</w:t>
      </w:r>
      <w:r>
        <w:rPr>
          <w:rFonts w:ascii="Courier New" w:cs="Courier New" w:eastAsia="Courier New" w:hAnsi="Courier New"/>
          <w:sz w:val="17"/>
          <w:szCs w:val="17"/>
        </w:rPr>
        <w:br/>
        <w:t xml:space="preserve">   36 percent - not because effort dropped.</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Acceptance - prove each with the computed value in the response or the log, never</w:t>
      </w:r>
      <w:r>
        <w:rPr>
          <w:rFonts w:ascii="Courier New" w:cs="Courier New" w:eastAsia="Courier New" w:hAnsi="Courier New"/>
          <w:sz w:val="17"/>
          <w:szCs w:val="17"/>
        </w:rPr>
        <w:br/>
        <w:t xml:space="preserve">with an assertion of success:</w:t>
      </w:r>
      <w:r>
        <w:rPr>
          <w:rFonts w:ascii="Courier New" w:cs="Courier New" w:eastAsia="Courier New" w:hAnsi="Courier New"/>
          <w:sz w:val="17"/>
          <w:szCs w:val="17"/>
        </w:rPr>
        <w:br/>
        <w:t xml:space="preserve">  cutoff = 2026-06-30, detected from the data, with no today() in the path</w:t>
      </w:r>
      <w:r>
        <w:rPr>
          <w:rFonts w:ascii="Courier New" w:cs="Courier New" w:eastAsia="Courier New" w:hAnsi="Courier New"/>
          <w:sz w:val="17"/>
          <w:szCs w:val="17"/>
        </w:rPr>
        <w:br/>
        <w:t xml:space="preserve">  elapsed working days = 78; demonstrated rate = 5.06 per day</w:t>
      </w:r>
      <w:r>
        <w:rPr>
          <w:rFonts w:ascii="Courier New" w:cs="Courier New" w:eastAsia="Courier New" w:hAnsi="Courier New"/>
          <w:sz w:val="17"/>
          <w:szCs w:val="17"/>
        </w:rPr>
        <w:br/>
        <w:t xml:space="preserve">  remaining working days = 235</w:t>
      </w:r>
      <w:r>
        <w:rPr>
          <w:rFonts w:ascii="Courier New" w:cs="Courier New" w:eastAsia="Courier New" w:hAnsi="Courier New"/>
          <w:sz w:val="17"/>
          <w:szCs w:val="17"/>
        </w:rPr>
        <w:br/>
        <w:t xml:space="preserve">  closed-year figures 1,043 / 1,534 and 1,423 / 2,343, located by header match and</w:t>
      </w:r>
      <w:r>
        <w:rPr>
          <w:rFonts w:ascii="Courier New" w:cs="Courier New" w:eastAsia="Courier New" w:hAnsi="Courier New"/>
          <w:sz w:val="17"/>
          <w:szCs w:val="17"/>
        </w:rPr>
        <w:br/>
        <w:t xml:space="preserve">    reconciled against the TOTAL row</w:t>
      </w:r>
      <w:r>
        <w:rPr>
          <w:rFonts w:ascii="Courier New" w:cs="Courier New" w:eastAsia="Courier New" w:hAnsi="Courier New"/>
          <w:sz w:val="17"/>
          <w:szCs w:val="17"/>
        </w:rPr>
        <w:br/>
        <w:t xml:space="preserve">  central gap = -281, labelled the planning basis, with all three scenarios shown</w:t>
      </w:r>
      <w:r>
        <w:rPr>
          <w:rFonts w:ascii="Courier New" w:cs="Courier New" w:eastAsia="Courier New" w:hAnsi="Courier New"/>
          <w:sz w:val="17"/>
          <w:szCs w:val="17"/>
        </w:rPr>
        <w:br/>
        <w:t xml:space="preserve">  month plans and credited days cover the same span</w:t>
      </w:r>
      <w:r>
        <w:rPr>
          <w:rFonts w:ascii="Courier New" w:cs="Courier New" w:eastAsia="Courier New" w:hAnsi="Courier New"/>
          <w:sz w:val="17"/>
          <w:szCs w:val="17"/>
        </w:rPr>
        <w:br/>
        <w:t xml:space="preserve">  three-year coverage table renders, including the per-retailer requirement column</w:t>
      </w:r>
      <w:r>
        <w:rPr>
          <w:rFonts w:ascii="Courier New" w:cs="Courier New" w:eastAsia="Courier New" w:hAnsi="Courier New"/>
          <w:sz w:val="17"/>
          <w:szCs w:val="17"/>
        </w:rPr>
        <w:br/>
        <w:t xml:space="preserve">  Phase 1, 2 and 4 acceptance numbers all still pass unchanged</w:t>
      </w:r>
    </w:p>
    <w:p>
      <w:pPr>
        <w:pStyle w:val="Heading1"/>
        <w:spacing w:after="120" w:before="240"/>
      </w:pPr>
      <w:r>
        <w:rPr>
          <w:b/>
          <w:bCs/>
        </w:rPr>
        <w:t xml:space="preserve">What to watch when it comes back</w:t>
      </w:r>
    </w:p>
    <w:p>
      <w:pPr>
        <w:spacing w:after="40"/>
        <w:ind w:left="360"/>
      </w:pPr>
      <w:r>
        <w:t xml:space="preserve">- The gap must LAND at -281 by computation, not by the agent adjusting an assumption until it matches. Ask which closed-year figures it read and from which columns.</w:t>
      </w:r>
    </w:p>
    <w:p>
      <w:pPr>
        <w:spacing w:after="40"/>
        <w:ind w:left="360"/>
      </w:pPr>
      <w:r>
        <w:t xml:space="preserve">- Header-match, not column letters. FY2024-25 carries Total Visit in one column and FY2025-26 in another; a hardcoded letter will read the wrong field and still return a plausible number. This is the failure mode that has bitten this project before.</w:t>
      </w:r>
    </w:p>
    <w:p>
      <w:pPr>
        <w:spacing w:after="40"/>
        <w:ind w:left="360"/>
      </w:pPr>
      <w:r>
        <w:t xml:space="preserve">- No today() anywhere in the window calculation. If the cutoff silently tracks the current date, the same bug returns next month.</w:t>
      </w:r>
    </w:p>
    <w:p>
      <w:pPr>
        <w:spacing w:after="40"/>
        <w:ind w:left="360"/>
      </w:pPr>
      <w:r>
        <w:t xml:space="preserve">- Phases 1, 2 and 4 must still pass. This touches only the capacity model.</w:t>
      </w:r>
    </w:p>
    <w:p>
      <w:pPr>
        <w:spacing w:after="40"/>
        <w:ind w:left="360"/>
      </w:pPr>
      <w:r>
        <w:t xml:space="preserve">- The shortfall must remain visible. If the band comes back with everything fitting neatly, an assumption was relaxed.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Deep Dive - Phase 3-C Correction Prompt</dc:title>
  <dc:creator>Prayag AI Team</dc:creator>
  <cp:lastModifiedBy>Un-named</cp:lastModifiedBy>
  <cp:revision>1</cp:revision>
  <dcterms:created xsi:type="dcterms:W3CDTF">2026-07-23T02:44:02.115Z</dcterms:created>
  <dcterms:modified xsi:type="dcterms:W3CDTF">2026-07-23T02:44:02.131Z</dcterms:modified>
</cp:coreProperties>
</file>

<file path=docProps/custom.xml><?xml version="1.0" encoding="utf-8"?>
<Properties xmlns="http://schemas.openxmlformats.org/officeDocument/2006/custom-properties" xmlns:vt="http://schemas.openxmlformats.org/officeDocument/2006/docPropsVTypes"/>
</file>