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Phase A8 - the metrics graph: answering questions nobody anticipated</w:t>
      </w:r>
    </w:p>
    <w:p>
      <w:pPr>
        <w:spacing w:after="150"/>
      </w:pPr>
      <w:r>
        <w:rPr>
          <w:i/>
          <w:iCs/>
          <w:color w:val="555555"/>
        </w:rPr>
        <w:t xml:space="preserve">Widens BOTH the AI Analytics page and the AI Reports page from a fixed payload to a complete, traversable map of every reconciled figure in the application.</w:t>
      </w:r>
    </w:p>
    <w:p>
      <w:pPr>
        <w:pStyle w:val="Heading1"/>
        <w:spacing w:after="100" w:before="240"/>
      </w:pPr>
      <w:r>
        <w:rPr>
          <w:b/>
          <w:bCs/>
        </w:rPr>
        <w:t xml:space="preserve">Why new questions currently fail</w:t>
      </w:r>
    </w:p>
    <w:p>
      <w:pPr>
        <w:spacing w:after="100"/>
      </w:pPr>
      <w:r>
        <w:t xml:space="preserve">A1 built a FIXED payload - a defined list of fields covering achievement, coverage, customer states, concentration and cost. Any question those fields answer, the page answers well. Any other question hits a wall.</w:t>
      </w:r>
    </w:p>
    <w:p>
      <w:pPr>
        <w:spacing w:after="100"/>
      </w:pPr>
      <w:r>
        <w:t xml:space="preserve">The wall is not reasoning. It is that the numbers were never put in front of the model. 'Which distributor has the worst fill rate', 'why did May dip', 'compare this member's discount to that one's' - none of those fields exist in the payload, so no amount of prompting will produce them. The payload is a keyhole, and the standard questions were cut to fit it.</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THE OBVIOUS FIX IS THE WRONG ONE. Do NOT respond to this by handing the model the database or raw rows. That reintroduces exactly what this project spent months eliminating - arithmetic done by a language model on unreconciled data, producing fluent wrong totals. The partial FY2024-25 load that showed Rs 126.71 Cr, and the customer endpoint that returned Bihar customers under a Delhi State Head, are what 'just give it the data' looks like at scale.</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The correct fix keeps the discipline and widens the aperture. The application still computes and reconciles EVERY number. What changes is that it now exposes a complete, structured map of those computed numbers - the whole flow, at every level, with lineage - and the model answers by traversing that map rather than being handed one pre-cut slice of it.</w:t>
      </w:r>
    </w:p>
    <w:p>
      <w:pPr>
        <w:pStyle w:val="Heading1"/>
        <w:spacing w:after="100" w:before="240"/>
      </w:pPr>
      <w:r>
        <w:rPr>
          <w:b/>
          <w:bCs/>
        </w:rPr>
        <w:t xml:space="preserve">What the metrics graph is</w:t>
      </w:r>
    </w:p>
    <w:p>
      <w:pPr>
        <w:spacing w:after="100"/>
      </w:pPr>
      <w:r>
        <w:t xml:space="preserve">A graph of NODES, each holding reconciled figures, joined by EDGES that describe how one level decomposes into the next. Not raw rows - computed values with their lineage attached.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Mar>
              <w:top w:type="dxa" w:w="50"/>
              <w:left w:type="dxa" w:w="80"/>
              <w:bottom w:type="dxa" w:w="50"/>
              <w:right w:type="dxa" w:w="80"/>
            </w:tcMar>
          </w:tcPr>
          <w:p>
            <w:r>
              <w:rPr>
                <w:b/>
                <w:bCs/>
                <w:sz w:val="16"/>
                <w:szCs w:val="16"/>
              </w:rPr>
              <w:t xml:space="preserve">Level</w:t>
            </w:r>
          </w:p>
        </w:tc>
        <w:tc>
          <w:tcPr>
            <w:tcW w:type="pct" w:w="58%"/>
            <w:tcMar>
              <w:top w:type="dxa" w:w="50"/>
              <w:left w:type="dxa" w:w="80"/>
              <w:bottom w:type="dxa" w:w="50"/>
              <w:right w:type="dxa" w:w="80"/>
            </w:tcMar>
          </w:tcPr>
          <w:p>
            <w:r>
              <w:rPr>
                <w:b/>
                <w:bCs/>
                <w:sz w:val="16"/>
                <w:szCs w:val="16"/>
              </w:rPr>
              <w:t xml:space="preserve">Node holds</w:t>
            </w:r>
          </w:p>
        </w:tc>
        <w:tc>
          <w:tcPr>
            <w:tcW w:type="pct" w:w="22%"/>
            <w:tcMar>
              <w:top w:type="dxa" w:w="50"/>
              <w:left w:type="dxa" w:w="80"/>
              <w:bottom w:type="dxa" w:w="50"/>
              <w:right w:type="dxa" w:w="80"/>
            </w:tcMar>
          </w:tcPr>
          <w:p>
            <w:r>
              <w:rPr>
                <w:b/>
                <w:bCs/>
                <w:sz w:val="16"/>
                <w:szCs w:val="16"/>
              </w:rPr>
              <w:t xml:space="preserve">Roughly</w:t>
            </w:r>
          </w:p>
        </w:tc>
      </w:tr>
      <w:tr>
        <w:trPr>
          <w:tblHeader w:val="false"/>
        </w:trPr>
        <w:tc>
          <w:tcPr>
            <w:tcW w:type="pct" w:w="20%"/>
            <w:tcMar>
              <w:top w:type="dxa" w:w="50"/>
              <w:left w:type="dxa" w:w="80"/>
              <w:bottom w:type="dxa" w:w="50"/>
              <w:right w:type="dxa" w:w="80"/>
            </w:tcMar>
          </w:tcPr>
          <w:p>
            <w:r>
              <w:rPr>
                <w:b w:val="false"/>
                <w:bCs w:val="false"/>
                <w:sz w:val="16"/>
                <w:szCs w:val="16"/>
              </w:rPr>
              <w:t xml:space="preserve">Company</w:t>
            </w:r>
          </w:p>
        </w:tc>
        <w:tc>
          <w:tcPr>
            <w:tcW w:type="pct" w:w="58%"/>
            <w:tcMar>
              <w:top w:type="dxa" w:w="50"/>
              <w:left w:type="dxa" w:w="80"/>
              <w:bottom w:type="dxa" w:w="50"/>
              <w:right w:type="dxa" w:w="80"/>
            </w:tcMar>
          </w:tcPr>
          <w:p>
            <w:r>
              <w:rPr>
                <w:b w:val="false"/>
                <w:bCs w:val="false"/>
                <w:sz w:val="16"/>
                <w:szCs w:val="16"/>
              </w:rPr>
              <w:t xml:space="preserve">The four measures per fiscal year, retailer and channel counts, coverage</w:t>
            </w:r>
          </w:p>
        </w:tc>
        <w:tc>
          <w:tcPr>
            <w:tcW w:type="pct" w:w="22%"/>
            <w:tcMar>
              <w:top w:type="dxa" w:w="50"/>
              <w:left w:type="dxa" w:w="80"/>
              <w:bottom w:type="dxa" w:w="50"/>
              <w:right w:type="dxa" w:w="80"/>
            </w:tcMar>
          </w:tcPr>
          <w:p>
            <w:r>
              <w:rPr>
                <w:b w:val="false"/>
                <w:bCs w:val="false"/>
                <w:sz w:val="16"/>
                <w:szCs w:val="16"/>
              </w:rPr>
              <w:t xml:space="preserve">1 per FY</w:t>
            </w:r>
          </w:p>
        </w:tc>
      </w:tr>
      <w:tr>
        <w:trPr>
          <w:tblHeader w:val="false"/>
        </w:trPr>
        <w:tc>
          <w:tcPr>
            <w:tcW w:type="pct" w:w="20%"/>
            <w:tcMar>
              <w:top w:type="dxa" w:w="50"/>
              <w:left w:type="dxa" w:w="80"/>
              <w:bottom w:type="dxa" w:w="50"/>
              <w:right w:type="dxa" w:w="80"/>
            </w:tcMar>
          </w:tcPr>
          <w:p>
            <w:r>
              <w:rPr>
                <w:b w:val="false"/>
                <w:bCs w:val="false"/>
                <w:sz w:val="16"/>
                <w:szCs w:val="16"/>
              </w:rPr>
              <w:t xml:space="preserve">State Head</w:t>
            </w:r>
          </w:p>
        </w:tc>
        <w:tc>
          <w:tcPr>
            <w:tcW w:type="pct" w:w="58%"/>
            <w:tcMar>
              <w:top w:type="dxa" w:w="50"/>
              <w:left w:type="dxa" w:w="80"/>
              <w:bottom w:type="dxa" w:w="50"/>
              <w:right w:type="dxa" w:w="80"/>
            </w:tcMar>
          </w:tcPr>
          <w:p>
            <w:r>
              <w:rPr>
                <w:b w:val="false"/>
                <w:bCs w:val="false"/>
                <w:sz w:val="16"/>
                <w:szCs w:val="16"/>
              </w:rPr>
              <w:t xml:space="preserve">Same measures, member roster, coverage, alias status</w:t>
            </w:r>
          </w:p>
        </w:tc>
        <w:tc>
          <w:tcPr>
            <w:tcW w:type="pct" w:w="22%"/>
            <w:tcMar>
              <w:top w:type="dxa" w:w="50"/>
              <w:left w:type="dxa" w:w="80"/>
              <w:bottom w:type="dxa" w:w="50"/>
              <w:right w:type="dxa" w:w="80"/>
            </w:tcMar>
          </w:tcPr>
          <w:p>
            <w:r>
              <w:rPr>
                <w:b w:val="false"/>
                <w:bCs w:val="false"/>
                <w:sz w:val="16"/>
                <w:szCs w:val="16"/>
              </w:rPr>
              <w:t xml:space="preserve">11</w:t>
            </w:r>
          </w:p>
        </w:tc>
      </w:tr>
      <w:tr>
        <w:trPr>
          <w:tblHeader w:val="false"/>
        </w:trPr>
        <w:tc>
          <w:tcPr>
            <w:tcW w:type="pct" w:w="20%"/>
            <w:tcMar>
              <w:top w:type="dxa" w:w="50"/>
              <w:left w:type="dxa" w:w="80"/>
              <w:bottom w:type="dxa" w:w="50"/>
              <w:right w:type="dxa" w:w="80"/>
            </w:tcMar>
          </w:tcPr>
          <w:p>
            <w:r>
              <w:rPr>
                <w:b w:val="false"/>
                <w:bCs w:val="false"/>
                <w:sz w:val="16"/>
                <w:szCs w:val="16"/>
              </w:rPr>
              <w:t xml:space="preserve">Salesperson</w:t>
            </w:r>
          </w:p>
        </w:tc>
        <w:tc>
          <w:tcPr>
            <w:tcW w:type="pct" w:w="58%"/>
            <w:tcMar>
              <w:top w:type="dxa" w:w="50"/>
              <w:left w:type="dxa" w:w="80"/>
              <w:bottom w:type="dxa" w:w="50"/>
              <w:right w:type="dxa" w:w="80"/>
            </w:tcMar>
          </w:tcPr>
          <w:p>
            <w:r>
              <w:rPr>
                <w:b w:val="false"/>
                <w:bCs w:val="false"/>
                <w:sz w:val="16"/>
                <w:szCs w:val="16"/>
              </w:rPr>
              <w:t xml:space="preserve">The existing A1 member payload in full</w:t>
            </w:r>
          </w:p>
        </w:tc>
        <w:tc>
          <w:tcPr>
            <w:tcW w:type="pct" w:w="22%"/>
            <w:tcMar>
              <w:top w:type="dxa" w:w="50"/>
              <w:left w:type="dxa" w:w="80"/>
              <w:bottom w:type="dxa" w:w="50"/>
              <w:right w:type="dxa" w:w="80"/>
            </w:tcMar>
          </w:tcPr>
          <w:p>
            <w:r>
              <w:rPr>
                <w:b w:val="false"/>
                <w:bCs w:val="false"/>
                <w:sz w:val="16"/>
                <w:szCs w:val="16"/>
              </w:rPr>
              <w:t xml:space="preserve">178</w:t>
            </w:r>
          </w:p>
        </w:tc>
      </w:tr>
      <w:tr>
        <w:trPr>
          <w:tblHeader w:val="false"/>
        </w:trPr>
        <w:tc>
          <w:tcPr>
            <w:tcW w:type="pct" w:w="20%"/>
            <w:tcMar>
              <w:top w:type="dxa" w:w="50"/>
              <w:left w:type="dxa" w:w="80"/>
              <w:bottom w:type="dxa" w:w="50"/>
              <w:right w:type="dxa" w:w="80"/>
            </w:tcMar>
          </w:tcPr>
          <w:p>
            <w:r>
              <w:rPr>
                <w:b w:val="false"/>
                <w:bCs w:val="false"/>
                <w:sz w:val="16"/>
                <w:szCs w:val="16"/>
              </w:rPr>
              <w:t xml:space="preserve">Distributor</w:t>
            </w:r>
          </w:p>
        </w:tc>
        <w:tc>
          <w:tcPr>
            <w:tcW w:type="pct" w:w="58%"/>
            <w:tcMar>
              <w:top w:type="dxa" w:w="50"/>
              <w:left w:type="dxa" w:w="80"/>
              <w:bottom w:type="dxa" w:w="50"/>
              <w:right w:type="dxa" w:w="80"/>
            </w:tcMar>
          </w:tcPr>
          <w:p>
            <w:r>
              <w:rPr>
                <w:b w:val="false"/>
                <w:bCs w:val="false"/>
                <w:sz w:val="16"/>
                <w:szCs w:val="16"/>
              </w:rPr>
              <w:t xml:space="preserve">Purchases in, sales out, flow gap, retailers, concentration, tier</w:t>
            </w:r>
          </w:p>
        </w:tc>
        <w:tc>
          <w:tcPr>
            <w:tcW w:type="pct" w:w="22%"/>
            <w:tcMar>
              <w:top w:type="dxa" w:w="50"/>
              <w:left w:type="dxa" w:w="80"/>
              <w:bottom w:type="dxa" w:w="50"/>
              <w:right w:type="dxa" w:w="80"/>
            </w:tcMar>
          </w:tcPr>
          <w:p>
            <w:r>
              <w:rPr>
                <w:b w:val="false"/>
                <w:bCs w:val="false"/>
                <w:sz w:val="16"/>
                <w:szCs w:val="16"/>
              </w:rPr>
              <w:t xml:space="preserve">269</w:t>
            </w:r>
          </w:p>
        </w:tc>
      </w:tr>
      <w:tr>
        <w:trPr>
          <w:tblHeader w:val="false"/>
        </w:trPr>
        <w:tc>
          <w:tcPr>
            <w:tcW w:type="pct" w:w="20%"/>
            <w:tcMar>
              <w:top w:type="dxa" w:w="50"/>
              <w:left w:type="dxa" w:w="80"/>
              <w:bottom w:type="dxa" w:w="50"/>
              <w:right w:type="dxa" w:w="80"/>
            </w:tcMar>
          </w:tcPr>
          <w:p>
            <w:r>
              <w:rPr>
                <w:b w:val="false"/>
                <w:bCs w:val="false"/>
                <w:sz w:val="16"/>
                <w:szCs w:val="16"/>
              </w:rPr>
              <w:t xml:space="preserve">Retailer</w:t>
            </w:r>
          </w:p>
        </w:tc>
        <w:tc>
          <w:tcPr>
            <w:tcW w:type="pct" w:w="58%"/>
            <w:tcMar>
              <w:top w:type="dxa" w:w="50"/>
              <w:left w:type="dxa" w:w="80"/>
              <w:bottom w:type="dxa" w:w="50"/>
              <w:right w:type="dxa" w:w="80"/>
            </w:tcMar>
          </w:tcPr>
          <w:p>
            <w:r>
              <w:rPr>
                <w:b w:val="false"/>
                <w:bCs w:val="false"/>
                <w:sz w:val="16"/>
                <w:szCs w:val="16"/>
              </w:rPr>
              <w:t xml:space="preserve">Customer state, booking, visits, assignment, district, distance</w:t>
            </w:r>
          </w:p>
        </w:tc>
        <w:tc>
          <w:tcPr>
            <w:tcW w:type="pct" w:w="22%"/>
            <w:tcMar>
              <w:top w:type="dxa" w:w="50"/>
              <w:left w:type="dxa" w:w="80"/>
              <w:bottom w:type="dxa" w:w="50"/>
              <w:right w:type="dxa" w:w="80"/>
            </w:tcMar>
          </w:tcPr>
          <w:p>
            <w:r>
              <w:rPr>
                <w:b w:val="false"/>
                <w:bCs w:val="false"/>
                <w:sz w:val="16"/>
                <w:szCs w:val="16"/>
              </w:rPr>
              <w:t xml:space="preserve">18,117</w:t>
            </w:r>
          </w:p>
        </w:tc>
      </w:tr>
      <w:tr>
        <w:trPr>
          <w:tblHeader w:val="false"/>
        </w:trPr>
        <w:tc>
          <w:tcPr>
            <w:tcW w:type="pct" w:w="20%"/>
            <w:tcMar>
              <w:top w:type="dxa" w:w="50"/>
              <w:left w:type="dxa" w:w="80"/>
              <w:bottom w:type="dxa" w:w="50"/>
              <w:right w:type="dxa" w:w="80"/>
            </w:tcMar>
          </w:tcPr>
          <w:p>
            <w:r>
              <w:rPr>
                <w:b w:val="false"/>
                <w:bCs w:val="false"/>
                <w:sz w:val="16"/>
                <w:szCs w:val="16"/>
              </w:rPr>
              <w:t xml:space="preserve">Product / segment</w:t>
            </w:r>
          </w:p>
        </w:tc>
        <w:tc>
          <w:tcPr>
            <w:tcW w:type="pct" w:w="58%"/>
            <w:tcMar>
              <w:top w:type="dxa" w:w="50"/>
              <w:left w:type="dxa" w:w="80"/>
              <w:bottom w:type="dxa" w:w="50"/>
              <w:right w:type="dxa" w:w="80"/>
            </w:tcMar>
          </w:tcPr>
          <w:p>
            <w:r>
              <w:rPr>
                <w:b w:val="false"/>
                <w:bCs w:val="false"/>
                <w:sz w:val="16"/>
                <w:szCs w:val="16"/>
              </w:rPr>
              <w:t xml:space="preserve">NET, quantity, discount, SKU count - closed years only</w:t>
            </w:r>
          </w:p>
        </w:tc>
        <w:tc>
          <w:tcPr>
            <w:tcW w:type="pct" w:w="22%"/>
            <w:tcMar>
              <w:top w:type="dxa" w:w="50"/>
              <w:left w:type="dxa" w:w="80"/>
              <w:bottom w:type="dxa" w:w="50"/>
              <w:right w:type="dxa" w:w="80"/>
            </w:tcMar>
          </w:tcPr>
          <w:p>
            <w:r>
              <w:rPr>
                <w:b w:val="false"/>
                <w:bCs w:val="false"/>
                <w:sz w:val="16"/>
                <w:szCs w:val="16"/>
              </w:rPr>
              <w:t xml:space="preserve">by code and segment</w:t>
            </w:r>
          </w:p>
        </w:tc>
      </w:tr>
      <w:tr>
        <w:trPr>
          <w:tblHeader w:val="false"/>
        </w:trPr>
        <w:tc>
          <w:tcPr>
            <w:tcW w:type="pct" w:w="20%"/>
            <w:tcMar>
              <w:top w:type="dxa" w:w="50"/>
              <w:left w:type="dxa" w:w="80"/>
              <w:bottom w:type="dxa" w:w="50"/>
              <w:right w:type="dxa" w:w="80"/>
            </w:tcMar>
          </w:tcPr>
          <w:p>
            <w:r>
              <w:rPr>
                <w:b w:val="false"/>
                <w:bCs w:val="false"/>
                <w:sz w:val="16"/>
                <w:szCs w:val="16"/>
              </w:rPr>
              <w:t xml:space="preserve">Time</w:t>
            </w:r>
          </w:p>
        </w:tc>
        <w:tc>
          <w:tcPr>
            <w:tcW w:type="pct" w:w="58%"/>
            <w:tcMar>
              <w:top w:type="dxa" w:w="50"/>
              <w:left w:type="dxa" w:w="80"/>
              <w:bottom w:type="dxa" w:w="50"/>
              <w:right w:type="dxa" w:w="80"/>
            </w:tcMar>
          </w:tcPr>
          <w:p>
            <w:r>
              <w:rPr>
                <w:b w:val="false"/>
                <w:bCs w:val="false"/>
                <w:sz w:val="16"/>
                <w:szCs w:val="16"/>
              </w:rPr>
              <w:t xml:space="preserve">Every measure by month and by quarter</w:t>
            </w:r>
          </w:p>
        </w:tc>
        <w:tc>
          <w:tcPr>
            <w:tcW w:type="pct" w:w="22%"/>
            <w:tcMar>
              <w:top w:type="dxa" w:w="50"/>
              <w:left w:type="dxa" w:w="80"/>
              <w:bottom w:type="dxa" w:w="50"/>
              <w:right w:type="dxa" w:w="80"/>
            </w:tcMar>
          </w:tcPr>
          <w:p>
            <w:r>
              <w:rPr>
                <w:b w:val="false"/>
                <w:bCs w:val="false"/>
                <w:sz w:val="16"/>
                <w:szCs w:val="16"/>
              </w:rPr>
              <w:t xml:space="preserve">12 per FY</w:t>
            </w:r>
          </w:p>
        </w:tc>
      </w:tr>
    </w:tbl>
    <w:p>
      <w:pPr>
        <w:spacing w:after="100"/>
      </w:pPr>
      <w:r>
        <w:t xml:space="preserve">The EDGES are what make it answerable. Company decomposes into heads; a head into members; a member into distributors and retailers; a retailer into products and months. A question like 'why is this head behind' is answered by walking down; 'what is dragging the company sale figure' by walking up.</w:t>
      </w:r>
    </w:p>
    <w:p>
      <w:pPr>
        <w:pStyle w:val="Heading2"/>
        <w:spacing w:after="65" w:before="180"/>
      </w:pPr>
      <w:r>
        <w:rPr>
          <w:b/>
          <w:bCs/>
        </w:rPr>
        <w:t xml:space="preserve">Every node carries the same five things</w:t>
      </w:r>
    </w:p>
    <w:p>
      <w:pPr>
        <w:spacing w:after="50"/>
        <w:ind w:left="280"/>
      </w:pPr>
      <w:r>
        <w:rPr>
          <w:rFonts w:ascii="Courier New" w:cs="Courier New" w:eastAsia="Courier New" w:hAnsi="Courier New"/>
          <w:sz w:val="16"/>
          <w:szCs w:val="16"/>
        </w:rPr>
        <w:t xml:space="preserve">measure      which of the four measures this is, named explicitly</w:t>
      </w:r>
    </w:p>
    <w:p>
      <w:pPr>
        <w:spacing w:after="50"/>
        <w:ind w:left="280"/>
      </w:pPr>
      <w:r>
        <w:rPr>
          <w:rFonts w:ascii="Courier New" w:cs="Courier New" w:eastAsia="Courier New" w:hAnsi="Courier New"/>
          <w:sz w:val="16"/>
          <w:szCs w:val="16"/>
        </w:rPr>
        <w:t xml:space="preserve">value        the reconciled figure</w:t>
      </w:r>
    </w:p>
    <w:p>
      <w:pPr>
        <w:spacing w:after="50"/>
        <w:ind w:left="280"/>
      </w:pPr>
      <w:r>
        <w:rPr>
          <w:rFonts w:ascii="Courier New" w:cs="Courier New" w:eastAsia="Courier New" w:hAnsi="Courier New"/>
          <w:sz w:val="16"/>
          <w:szCs w:val="16"/>
        </w:rPr>
        <w:t xml:space="preserve">population   what is included and excluded - project business, direct dealers</w:t>
      </w:r>
    </w:p>
    <w:p>
      <w:pPr>
        <w:spacing w:after="50"/>
        <w:ind w:left="280"/>
      </w:pPr>
      <w:r>
        <w:rPr>
          <w:rFonts w:ascii="Courier New" w:cs="Courier New" w:eastAsia="Courier New" w:hAnsi="Courier New"/>
          <w:sz w:val="16"/>
          <w:szCs w:val="16"/>
        </w:rPr>
        <w:t xml:space="preserve">source       dashboard column, member sheet tab, register, or frozen table</w:t>
      </w:r>
    </w:p>
    <w:p>
      <w:pPr>
        <w:spacing w:after="50"/>
        <w:ind w:left="280"/>
      </w:pPr>
      <w:r>
        <w:rPr>
          <w:rFonts w:ascii="Courier New" w:cs="Courier New" w:eastAsia="Courier New" w:hAnsi="Courier New"/>
          <w:sz w:val="16"/>
          <w:szCs w:val="16"/>
        </w:rPr>
        <w:t xml:space="preserve">flags        any data-quality flags that bear on this figure</w:t>
      </w:r>
    </w:p>
    <w:p>
      <w:pPr>
        <w:spacing w:after="100"/>
      </w:pPr>
      <w:r>
        <w:t xml:space="preserve">These are the same five properties this project already requires of any figure on screen. The graph simply makes them machine-readable rather than a labelling convention.</w:t>
      </w:r>
    </w:p>
    <w:p>
      <w:pPr>
        <w:pStyle w:val="Heading1"/>
        <w:spacing w:after="100" w:before="240"/>
      </w:pPr>
      <w:r>
        <w:rPr>
          <w:b/>
          <w:bCs/>
        </w:rPr>
        <w:t xml:space="preserve">The constraint that shapes the design</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THE GRAPH CANNOT BE SENT IN ONE PAYLOAD. 18,117 retailer nodes plus 178 member nodes plus product nodes across five closed years is far beyond any context window. Any design that serialises the whole graph into a prompt will fail, or silently truncate - which is worse, because a truncated graph produces an answer that looks complete.</w:t>
      </w:r>
    </w:p>
    <w:p>
      <w:pPr>
        <w:spacing w:after="100"/>
      </w:pPr>
      <w:r>
        <w:t xml:space="preserve">So the graph is served by TRAVERSAL, in two steps:</w:t>
      </w:r>
    </w:p>
    <w:p>
      <w:pPr>
        <w:spacing w:after="40"/>
        <w:ind w:left="360"/>
      </w:pPr>
      <w:r>
        <w:t xml:space="preserve">- An INDEX is always sent: the shape of the graph, the node types, which measures exist at each level, what time periods are available, and which nodes are gaps. Small, and constant regardless of company size.</w:t>
      </w:r>
    </w:p>
    <w:p>
      <w:pPr>
        <w:spacing w:after="40"/>
        <w:ind w:left="360"/>
      </w:pPr>
      <w:r>
        <w:t xml:space="preserve">- NODES ARE RESOLVED ON DEMAND: the model requests specific nodes or a subgraph by path, and the app returns those nodes' figures. Several rounds are allowed within one question.</w:t>
      </w:r>
    </w:p>
    <w:p>
      <w:pPr>
        <w:spacing w:after="100"/>
      </w:pPr>
      <w:r>
        <w:t xml:space="preserve">This is what lets the same mechanism serve a question about one retailer and a question about the whole company without either being truncated.</w:t>
      </w:r>
    </w:p>
    <w:p>
      <w:pPr>
        <w:pStyle w:val="Heading1"/>
        <w:spacing w:after="100" w:before="240"/>
      </w:pPr>
      <w:r>
        <w:rPr>
          <w:b/>
          <w:bCs/>
        </w:rPr>
        <w:t xml:space="preserve">Gaps must be nodes, not silence</w:t>
      </w:r>
    </w:p>
    <w:p>
      <w:pPr>
        <w:spacing w:after="100"/>
      </w:pPr>
      <w:r>
        <w:t xml:space="preserve">Several questions cannot be answered because the NUMBER DOES NOT EXIST, not because it is hidden. The graph must represent these explicitly, so the model says what is missing instead of inventing something plausible.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Mar>
              <w:top w:type="dxa" w:w="50"/>
              <w:left w:type="dxa" w:w="80"/>
              <w:bottom w:type="dxa" w:w="50"/>
              <w:right w:type="dxa" w:w="80"/>
            </w:tcMar>
          </w:tcPr>
          <w:p>
            <w:r>
              <w:rPr>
                <w:b/>
                <w:bCs/>
                <w:sz w:val="16"/>
                <w:szCs w:val="16"/>
              </w:rPr>
              <w:t xml:space="preserve">Gap node</w:t>
            </w:r>
          </w:p>
        </w:tc>
        <w:tc>
          <w:tcPr>
            <w:tcW w:type="pct" w:w="38%"/>
            <w:tcMar>
              <w:top w:type="dxa" w:w="50"/>
              <w:left w:type="dxa" w:w="80"/>
              <w:bottom w:type="dxa" w:w="50"/>
              <w:right w:type="dxa" w:w="80"/>
            </w:tcMar>
          </w:tcPr>
          <w:p>
            <w:r>
              <w:rPr>
                <w:b/>
                <w:bCs/>
                <w:sz w:val="16"/>
                <w:szCs w:val="16"/>
              </w:rPr>
              <w:t xml:space="preserve">Why it is empty</w:t>
            </w:r>
          </w:p>
        </w:tc>
        <w:tc>
          <w:tcPr>
            <w:tcW w:type="pct" w:w="36%"/>
            <w:tcMar>
              <w:top w:type="dxa" w:w="50"/>
              <w:left w:type="dxa" w:w="80"/>
              <w:bottom w:type="dxa" w:w="50"/>
              <w:right w:type="dxa" w:w="80"/>
            </w:tcMar>
          </w:tcPr>
          <w:p>
            <w:r>
              <w:rPr>
                <w:b/>
                <w:bCs/>
                <w:sz w:val="16"/>
                <w:szCs w:val="16"/>
              </w:rPr>
              <w:t xml:space="preserve">What it blocks</w:t>
            </w:r>
          </w:p>
        </w:tc>
      </w:tr>
      <w:tr>
        <w:trPr>
          <w:tblHeader w:val="false"/>
        </w:trPr>
        <w:tc>
          <w:tcPr>
            <w:tcW w:type="pct" w:w="26%"/>
            <w:tcMar>
              <w:top w:type="dxa" w:w="50"/>
              <w:left w:type="dxa" w:w="80"/>
              <w:bottom w:type="dxa" w:w="50"/>
              <w:right w:type="dxa" w:w="80"/>
            </w:tcMar>
          </w:tcPr>
          <w:p>
            <w:r>
              <w:rPr>
                <w:b w:val="false"/>
                <w:bCs w:val="false"/>
                <w:sz w:val="16"/>
                <w:szCs w:val="16"/>
              </w:rPr>
              <w:t xml:space="preserve">Live-year SKU and segment</w:t>
            </w:r>
          </w:p>
        </w:tc>
        <w:tc>
          <w:tcPr>
            <w:tcW w:type="pct" w:w="38%"/>
            <w:tcMar>
              <w:top w:type="dxa" w:w="50"/>
              <w:left w:type="dxa" w:w="80"/>
              <w:bottom w:type="dxa" w:w="50"/>
              <w:right w:type="dxa" w:w="80"/>
            </w:tcMar>
          </w:tcPr>
          <w:p>
            <w:r>
              <w:rPr>
                <w:b w:val="false"/>
                <w:bCs w:val="false"/>
                <w:sz w:val="16"/>
                <w:szCs w:val="16"/>
              </w:rPr>
              <w:t xml:space="preserve">No FY2026-27 secondary register exists</w:t>
            </w:r>
          </w:p>
        </w:tc>
        <w:tc>
          <w:tcPr>
            <w:tcW w:type="pct" w:w="36%"/>
            <w:tcMar>
              <w:top w:type="dxa" w:w="50"/>
              <w:left w:type="dxa" w:w="80"/>
              <w:bottom w:type="dxa" w:w="50"/>
              <w:right w:type="dxa" w:w="80"/>
            </w:tcMar>
          </w:tcPr>
          <w:p>
            <w:r>
              <w:rPr>
                <w:b w:val="false"/>
                <w:bCs w:val="false"/>
                <w:sz w:val="16"/>
                <w:szCs w:val="16"/>
              </w:rPr>
              <w:t xml:space="preserve">Item-code, segment NET, discount, day ranges for the current year</w:t>
            </w:r>
          </w:p>
        </w:tc>
      </w:tr>
      <w:tr>
        <w:trPr>
          <w:tblHeader w:val="false"/>
        </w:trPr>
        <w:tc>
          <w:tcPr>
            <w:tcW w:type="pct" w:w="26%"/>
            <w:tcMar>
              <w:top w:type="dxa" w:w="50"/>
              <w:left w:type="dxa" w:w="80"/>
              <w:bottom w:type="dxa" w:w="50"/>
              <w:right w:type="dxa" w:w="80"/>
            </w:tcMar>
          </w:tcPr>
          <w:p>
            <w:r>
              <w:rPr>
                <w:b w:val="false"/>
                <w:bCs w:val="false"/>
                <w:sz w:val="16"/>
                <w:szCs w:val="16"/>
              </w:rPr>
              <w:t xml:space="preserve">Finished-goods cost</w:t>
            </w:r>
          </w:p>
        </w:tc>
        <w:tc>
          <w:tcPr>
            <w:tcW w:type="pct" w:w="38%"/>
            <w:tcMar>
              <w:top w:type="dxa" w:w="50"/>
              <w:left w:type="dxa" w:w="80"/>
              <w:bottom w:type="dxa" w:w="50"/>
              <w:right w:type="dxa" w:w="80"/>
            </w:tcMar>
          </w:tcPr>
          <w:p>
            <w:r>
              <w:rPr>
                <w:b w:val="false"/>
                <w:bCs w:val="false"/>
                <w:sz w:val="16"/>
                <w:szCs w:val="16"/>
              </w:rPr>
              <w:t xml:space="preserve">No fg_cost master</w:t>
            </w:r>
          </w:p>
        </w:tc>
        <w:tc>
          <w:tcPr>
            <w:tcW w:type="pct" w:w="36%"/>
            <w:tcMar>
              <w:top w:type="dxa" w:w="50"/>
              <w:left w:type="dxa" w:w="80"/>
              <w:bottom w:type="dxa" w:w="50"/>
              <w:right w:type="dxa" w:w="80"/>
            </w:tcMar>
          </w:tcPr>
          <w:p>
            <w:r>
              <w:rPr>
                <w:b w:val="false"/>
                <w:bCs w:val="false"/>
                <w:sz w:val="16"/>
                <w:szCs w:val="16"/>
              </w:rPr>
              <w:t xml:space="preserve">All margin and profit ROI at every level</w:t>
            </w:r>
          </w:p>
        </w:tc>
      </w:tr>
      <w:tr>
        <w:trPr>
          <w:tblHeader w:val="false"/>
        </w:trPr>
        <w:tc>
          <w:tcPr>
            <w:tcW w:type="pct" w:w="26%"/>
            <w:tcMar>
              <w:top w:type="dxa" w:w="50"/>
              <w:left w:type="dxa" w:w="80"/>
              <w:bottom w:type="dxa" w:w="50"/>
              <w:right w:type="dxa" w:w="80"/>
            </w:tcMar>
          </w:tcPr>
          <w:p>
            <w:r>
              <w:rPr>
                <w:b w:val="false"/>
                <w:bCs w:val="false"/>
                <w:sz w:val="16"/>
                <w:szCs w:val="16"/>
              </w:rPr>
              <w:t xml:space="preserve">Receivables</w:t>
            </w:r>
          </w:p>
        </w:tc>
        <w:tc>
          <w:tcPr>
            <w:tcW w:type="pct" w:w="38%"/>
            <w:tcMar>
              <w:top w:type="dxa" w:w="50"/>
              <w:left w:type="dxa" w:w="80"/>
              <w:bottom w:type="dxa" w:w="50"/>
              <w:right w:type="dxa" w:w="80"/>
            </w:tcMar>
          </w:tcPr>
          <w:p>
            <w:r>
              <w:rPr>
                <w:b w:val="false"/>
                <w:bCs w:val="false"/>
                <w:sz w:val="16"/>
                <w:szCs w:val="16"/>
              </w:rPr>
              <w:t xml:space="preserve">No accounts-receivable source is wired</w:t>
            </w:r>
          </w:p>
        </w:tc>
        <w:tc>
          <w:tcPr>
            <w:tcW w:type="pct" w:w="36%"/>
            <w:tcMar>
              <w:top w:type="dxa" w:w="50"/>
              <w:left w:type="dxa" w:w="80"/>
              <w:bottom w:type="dxa" w:w="50"/>
              <w:right w:type="dxa" w:w="80"/>
            </w:tcMar>
          </w:tcPr>
          <w:p>
            <w:r>
              <w:rPr>
                <w:b w:val="false"/>
                <w:bCs w:val="false"/>
                <w:sz w:val="16"/>
                <w:szCs w:val="16"/>
              </w:rPr>
              <w:t xml:space="preserve">Distributor investment and true cost to carry</w:t>
            </w:r>
          </w:p>
        </w:tc>
      </w:tr>
      <w:tr>
        <w:trPr>
          <w:tblHeader w:val="false"/>
        </w:trPr>
        <w:tc>
          <w:tcPr>
            <w:tcW w:type="pct" w:w="26%"/>
            <w:tcMar>
              <w:top w:type="dxa" w:w="50"/>
              <w:left w:type="dxa" w:w="80"/>
              <w:bottom w:type="dxa" w:w="50"/>
              <w:right w:type="dxa" w:w="80"/>
            </w:tcMar>
          </w:tcPr>
          <w:p>
            <w:r>
              <w:rPr>
                <w:b w:val="false"/>
                <w:bCs w:val="false"/>
                <w:sz w:val="16"/>
                <w:szCs w:val="16"/>
              </w:rPr>
              <w:t xml:space="preserve">Scheme definitions</w:t>
            </w:r>
          </w:p>
        </w:tc>
        <w:tc>
          <w:tcPr>
            <w:tcW w:type="pct" w:w="38%"/>
            <w:tcMar>
              <w:top w:type="dxa" w:w="50"/>
              <w:left w:type="dxa" w:w="80"/>
              <w:bottom w:type="dxa" w:w="50"/>
              <w:right w:type="dxa" w:w="80"/>
            </w:tcMar>
          </w:tcPr>
          <w:p>
            <w:r>
              <w:rPr>
                <w:b w:val="false"/>
                <w:bCs w:val="false"/>
                <w:sz w:val="16"/>
                <w:szCs w:val="16"/>
              </w:rPr>
              <w:t xml:space="preserve">scheme_def and scheme_slab are empty; nudges run off a separate bundled JSON</w:t>
            </w:r>
          </w:p>
        </w:tc>
        <w:tc>
          <w:tcPr>
            <w:tcW w:type="pct" w:w="36%"/>
            <w:tcMar>
              <w:top w:type="dxa" w:w="50"/>
              <w:left w:type="dxa" w:w="80"/>
              <w:bottom w:type="dxa" w:w="50"/>
              <w:right w:type="dxa" w:w="80"/>
            </w:tcMar>
          </w:tcPr>
          <w:p>
            <w:r>
              <w:rPr>
                <w:b w:val="false"/>
                <w:bCs w:val="false"/>
                <w:sz w:val="16"/>
                <w:szCs w:val="16"/>
              </w:rPr>
              <w:t xml:space="preserve">Scheme eligibility; also note the two systems are unconnected</w:t>
            </w:r>
          </w:p>
        </w:tc>
      </w:tr>
      <w:tr>
        <w:trPr>
          <w:tblHeader w:val="false"/>
        </w:trPr>
        <w:tc>
          <w:tcPr>
            <w:tcW w:type="pct" w:w="26%"/>
            <w:tcMar>
              <w:top w:type="dxa" w:w="50"/>
              <w:left w:type="dxa" w:w="80"/>
              <w:bottom w:type="dxa" w:w="50"/>
              <w:right w:type="dxa" w:w="80"/>
            </w:tcMar>
          </w:tcPr>
          <w:p>
            <w:r>
              <w:rPr>
                <w:b w:val="false"/>
                <w:bCs w:val="false"/>
                <w:sz w:val="16"/>
                <w:szCs w:val="16"/>
              </w:rPr>
              <w:t xml:space="preserve">Mapping confidence</w:t>
            </w:r>
          </w:p>
        </w:tc>
        <w:tc>
          <w:tcPr>
            <w:tcW w:type="pct" w:w="38%"/>
            <w:tcMar>
              <w:top w:type="dxa" w:w="50"/>
              <w:left w:type="dxa" w:w="80"/>
              <w:bottom w:type="dxa" w:w="50"/>
              <w:right w:type="dxa" w:w="80"/>
            </w:tcMar>
          </w:tcPr>
          <w:p>
            <w:r>
              <w:rPr>
                <w:b w:val="false"/>
                <w:bCs w:val="false"/>
                <w:sz w:val="16"/>
                <w:szCs w:val="16"/>
              </w:rPr>
              <w:t xml:space="preserve">customer_master has zero rows</w:t>
            </w:r>
          </w:p>
        </w:tc>
        <w:tc>
          <w:tcPr>
            <w:tcW w:type="pct" w:w="36%"/>
            <w:tcMar>
              <w:top w:type="dxa" w:w="50"/>
              <w:left w:type="dxa" w:w="80"/>
              <w:bottom w:type="dxa" w:w="50"/>
              <w:right w:type="dxa" w:w="80"/>
            </w:tcMar>
          </w:tcPr>
          <w:p>
            <w:r>
              <w:rPr>
                <w:b w:val="false"/>
                <w:bCs w:val="false"/>
                <w:sz w:val="16"/>
                <w:szCs w:val="16"/>
              </w:rPr>
              <w:t xml:space="preserve">The Confirmed-versus-Guessed split D1 requires</w:t>
            </w:r>
          </w:p>
        </w:tc>
      </w:tr>
      <w:tr>
        <w:trPr>
          <w:tblHeader w:val="false"/>
        </w:trPr>
        <w:tc>
          <w:tcPr>
            <w:tcW w:type="pct" w:w="26%"/>
            <w:tcMar>
              <w:top w:type="dxa" w:w="50"/>
              <w:left w:type="dxa" w:w="80"/>
              <w:bottom w:type="dxa" w:w="50"/>
              <w:right w:type="dxa" w:w="80"/>
            </w:tcMar>
          </w:tcPr>
          <w:p>
            <w:r>
              <w:rPr>
                <w:b w:val="false"/>
                <w:bCs w:val="false"/>
                <w:sz w:val="16"/>
                <w:szCs w:val="16"/>
              </w:rPr>
              <w:t xml:space="preserve">Direct-dealer entity filter</w:t>
            </w:r>
          </w:p>
        </w:tc>
        <w:tc>
          <w:tcPr>
            <w:tcW w:type="pct" w:w="38%"/>
            <w:tcMar>
              <w:top w:type="dxa" w:w="50"/>
              <w:left w:type="dxa" w:w="80"/>
              <w:bottom w:type="dxa" w:w="50"/>
              <w:right w:type="dxa" w:w="80"/>
            </w:tcMar>
          </w:tcPr>
          <w:p>
            <w:r>
              <w:rPr>
                <w:b w:val="false"/>
                <w:bCs w:val="false"/>
                <w:sz w:val="16"/>
                <w:szCs w:val="16"/>
              </w:rPr>
              <w:t xml:space="preserve">type_raw holds product groups, so the filter returns zero for every FY</w:t>
            </w:r>
          </w:p>
        </w:tc>
        <w:tc>
          <w:tcPr>
            <w:tcW w:type="pct" w:w="36%"/>
            <w:tcMar>
              <w:top w:type="dxa" w:w="50"/>
              <w:left w:type="dxa" w:w="80"/>
              <w:bottom w:type="dxa" w:w="50"/>
              <w:right w:type="dxa" w:w="80"/>
            </w:tcMar>
          </w:tcPr>
          <w:p>
            <w:r>
              <w:rPr>
                <w:b w:val="false"/>
                <w:bCs w:val="false"/>
                <w:sz w:val="16"/>
                <w:szCs w:val="16"/>
              </w:rPr>
              <w:t xml:space="preserve">Entity-type segmentation; use member-sheet blanks instead</w:t>
            </w:r>
          </w:p>
        </w:tc>
      </w:tr>
    </w:tbl>
    <w:p>
      <w:pPr>
        <w:pBdr>
          <w:top w:val="single" w:color="BBCCDD" w:sz="6" w:space="6"/>
          <w:bottom w:val="single" w:color="BBCCDD" w:sz="6" w:space="6"/>
          <w:left w:val="single" w:color="BBCCDD" w:sz="6" w:space="6"/>
          <w:right w:val="single" w:color="BBCCDD" w:sz="6" w:space="6"/>
        </w:pBdr>
        <w:shd w:fill="EEF3F7" w:color="auto" w:val="clear"/>
        <w:spacing w:after="120"/>
      </w:pPr>
      <w:r>
        <w:t xml:space="preserve">A gap node is a real answer. 'Item-code detail is not available for FY2026-27 because no register exists for the live year; it is available for FY2021-22 through FY2025-26' is far more useful than either silence or a fabricated number.</w:t>
      </w:r>
    </w:p>
    <w:p>
      <w:pPr>
        <w:pStyle w:val="Heading1"/>
        <w:spacing w:after="100" w:before="240"/>
      </w:pPr>
      <w:r>
        <w:rPr>
          <w:b/>
          <w:bCs/>
        </w:rPr>
        <w:t xml:space="preserve">Prompt A8-A - build the graph (no AI)</w:t>
      </w:r>
    </w:p>
    <w:p>
      <w:pPr>
        <w:spacing w:after="20" w:before="100"/>
      </w:pPr>
      <w:r>
        <w:rPr>
          <w:b/>
          <w:bCs/>
          <w:i/>
          <w:iCs/>
          <w:color w:val="444444"/>
        </w:rPr>
        <w:t xml:space="preserve">PROMPT - A8-A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Phase A8-A. Same global rules as every earlier phase. THIS PHASE</w:t>
      </w:r>
      <w:r>
        <w:rPr>
          <w:rFonts w:ascii="Courier New" w:cs="Courier New" w:eastAsia="Courier New" w:hAnsi="Courier New"/>
          <w:sz w:val="15"/>
          <w:szCs w:val="15"/>
        </w:rPr>
        <w:br/>
        <w:t xml:space="preserve">CONTAINS NO AI CALL. Build the graph and prove it before anything reads from it.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Goal: expose every reconciled figure in the application as a traversable graph, so</w:t>
      </w:r>
      <w:r>
        <w:rPr>
          <w:rFonts w:ascii="Courier New" w:cs="Courier New" w:eastAsia="Courier New" w:hAnsi="Courier New"/>
          <w:sz w:val="15"/>
          <w:szCs w:val="15"/>
        </w:rPr>
        <w:br/>
        <w:t xml:space="preserve">both the AI Analytics page and the AI Reports page can answer questions that were not</w:t>
      </w:r>
      <w:r>
        <w:rPr>
          <w:rFonts w:ascii="Courier New" w:cs="Courier New" w:eastAsia="Courier New" w:hAnsi="Courier New"/>
          <w:sz w:val="15"/>
          <w:szCs w:val="15"/>
        </w:rPr>
        <w:br/>
        <w:t xml:space="preserve">anticipated when the payload was designed.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REUSE, DO NOT REWRITE. Every figure must come from the EXISTING verified computation -</w:t>
      </w:r>
      <w:r>
        <w:rPr>
          <w:rFonts w:ascii="Courier New" w:cs="Courier New" w:eastAsia="Courier New" w:hAnsi="Courier New"/>
          <w:sz w:val="15"/>
          <w:szCs w:val="15"/>
        </w:rPr>
        <w:br/>
        <w:t xml:space="preserve">the Deep Dive logic, the A1 payload builder, the analytics endpoints. Writing new</w:t>
      </w:r>
      <w:r>
        <w:rPr>
          <w:rFonts w:ascii="Courier New" w:cs="Courier New" w:eastAsia="Courier New" w:hAnsi="Courier New"/>
          <w:sz w:val="15"/>
          <w:szCs w:val="15"/>
        </w:rPr>
        <w:br/>
        <w:t xml:space="preserve">calculations here would create a second source of truth and undo the reconciliation</w:t>
      </w:r>
      <w:r>
        <w:rPr>
          <w:rFonts w:ascii="Courier New" w:cs="Courier New" w:eastAsia="Courier New" w:hAnsi="Courier New"/>
          <w:sz w:val="15"/>
          <w:szCs w:val="15"/>
        </w:rPr>
        <w:br/>
        <w:t xml:space="preserve">work. If a figure is not already computed somewhere, it becomes a gap node, not a new</w:t>
      </w:r>
      <w:r>
        <w:rPr>
          <w:rFonts w:ascii="Courier New" w:cs="Courier New" w:eastAsia="Courier New" w:hAnsi="Courier New"/>
          <w:sz w:val="15"/>
          <w:szCs w:val="15"/>
        </w:rPr>
        <w:br/>
        <w:t xml:space="preserve">formula.</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ROUTE: GET /api/graph/index?fy=&amp;period=</w:t>
      </w:r>
      <w:r>
        <w:rPr>
          <w:rFonts w:ascii="Courier New" w:cs="Courier New" w:eastAsia="Courier New" w:hAnsi="Courier New"/>
          <w:sz w:val="15"/>
          <w:szCs w:val="15"/>
        </w:rPr>
        <w:br/>
        <w:t xml:space="preserve">   Returns the SHAPE of the graph, not its contents: node types, the measures</w:t>
      </w:r>
      <w:r>
        <w:rPr>
          <w:rFonts w:ascii="Courier New" w:cs="Courier New" w:eastAsia="Courier New" w:hAnsi="Courier New"/>
          <w:sz w:val="15"/>
          <w:szCs w:val="15"/>
        </w:rPr>
        <w:br/>
        <w:t xml:space="preserve">   available at each level, the fiscal years and periods held, the counts at each</w:t>
      </w:r>
      <w:r>
        <w:rPr>
          <w:rFonts w:ascii="Courier New" w:cs="Courier New" w:eastAsia="Courier New" w:hAnsi="Courier New"/>
          <w:sz w:val="15"/>
          <w:szCs w:val="15"/>
        </w:rPr>
        <w:br/>
        <w:t xml:space="preserve">   level, and the full list of gap nodes with their reasons. Must stay small enough</w:t>
      </w:r>
      <w:r>
        <w:rPr>
          <w:rFonts w:ascii="Courier New" w:cs="Courier New" w:eastAsia="Courier New" w:hAnsi="Courier New"/>
          <w:sz w:val="15"/>
          <w:szCs w:val="15"/>
        </w:rPr>
        <w:br/>
        <w:t xml:space="preserve">   to send in every prompt regardless of company size.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ROUTE: POST /api/graph/resolve</w:t>
      </w:r>
      <w:r>
        <w:rPr>
          <w:rFonts w:ascii="Courier New" w:cs="Courier New" w:eastAsia="Courier New" w:hAnsi="Courier New"/>
          <w:sz w:val="15"/>
          <w:szCs w:val="15"/>
        </w:rPr>
        <w:br/>
        <w:t xml:space="preserve">   Body takes a list of node paths and returns those nodes. Paths look like:</w:t>
      </w:r>
      <w:r>
        <w:rPr>
          <w:rFonts w:ascii="Courier New" w:cs="Courier New" w:eastAsia="Courier New" w:hAnsi="Courier New"/>
          <w:sz w:val="15"/>
          <w:szCs w:val="15"/>
        </w:rPr>
        <w:br/>
        <w:t xml:space="preserve">     company/2026-27</w:t>
      </w:r>
      <w:r>
        <w:rPr>
          <w:rFonts w:ascii="Courier New" w:cs="Courier New" w:eastAsia="Courier New" w:hAnsi="Courier New"/>
          <w:sz w:val="15"/>
          <w:szCs w:val="15"/>
        </w:rPr>
        <w:br/>
        <w:t xml:space="preserve">     head/Anant Singh/2026-27</w:t>
      </w:r>
      <w:r>
        <w:rPr>
          <w:rFonts w:ascii="Courier New" w:cs="Courier New" w:eastAsia="Courier New" w:hAnsi="Courier New"/>
          <w:sz w:val="15"/>
          <w:szCs w:val="15"/>
        </w:rPr>
        <w:br/>
        <w:t xml:space="preserve">     salesperson/Prasun Chatterjee/2026-27</w:t>
      </w:r>
      <w:r>
        <w:rPr>
          <w:rFonts w:ascii="Courier New" w:cs="Courier New" w:eastAsia="Courier New" w:hAnsi="Courier New"/>
          <w:sz w:val="15"/>
          <w:szCs w:val="15"/>
        </w:rPr>
        <w:br/>
        <w:t xml:space="preserve">     salesperson/Prasun Chatterjee/2026-27/month/May</w:t>
      </w:r>
      <w:r>
        <w:rPr>
          <w:rFonts w:ascii="Courier New" w:cs="Courier New" w:eastAsia="Courier New" w:hAnsi="Courier New"/>
          <w:sz w:val="15"/>
          <w:szCs w:val="15"/>
        </w:rPr>
        <w:br/>
        <w:t xml:space="preserve">     distributor/Jagdamba Traders/2026-27</w:t>
      </w:r>
      <w:r>
        <w:rPr>
          <w:rFonts w:ascii="Courier New" w:cs="Courier New" w:eastAsia="Courier New" w:hAnsi="Courier New"/>
          <w:sz w:val="15"/>
          <w:szCs w:val="15"/>
        </w:rPr>
        <w:br/>
        <w:t xml:space="preserve">     retailer/Lamba traders/2026-27</w:t>
      </w:r>
      <w:r>
        <w:rPr>
          <w:rFonts w:ascii="Courier New" w:cs="Courier New" w:eastAsia="Courier New" w:hAnsi="Courier New"/>
          <w:sz w:val="15"/>
          <w:szCs w:val="15"/>
        </w:rPr>
        <w:br/>
        <w:t xml:space="preserve">     segment/CP/2025-26</w:t>
      </w:r>
      <w:r>
        <w:rPr>
          <w:rFonts w:ascii="Courier New" w:cs="Courier New" w:eastAsia="Courier New" w:hAnsi="Courier New"/>
          <w:sz w:val="15"/>
          <w:szCs w:val="15"/>
        </w:rPr>
        <w:br/>
        <w:t xml:space="preserve">   Support wildcards for one level - head/*/2026-27 returns all eleven heads - with a</w:t>
      </w:r>
      <w:r>
        <w:rPr>
          <w:rFonts w:ascii="Courier New" w:cs="Courier New" w:eastAsia="Courier New" w:hAnsi="Courier New"/>
          <w:sz w:val="15"/>
          <w:szCs w:val="15"/>
        </w:rPr>
        <w:br/>
        <w:t xml:space="preserve">   hard cap on how many nodes one call may return, and a clear 'truncated, refine your</w:t>
      </w:r>
      <w:r>
        <w:rPr>
          <w:rFonts w:ascii="Courier New" w:cs="Courier New" w:eastAsia="Courier New" w:hAnsi="Courier New"/>
          <w:sz w:val="15"/>
          <w:szCs w:val="15"/>
        </w:rPr>
        <w:br/>
        <w:t xml:space="preserve">   request' response rather than a silent cut.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EVERY NODE CARRIES, without exception:</w:t>
      </w:r>
      <w:r>
        <w:rPr>
          <w:rFonts w:ascii="Courier New" w:cs="Courier New" w:eastAsia="Courier New" w:hAnsi="Courier New"/>
          <w:sz w:val="15"/>
          <w:szCs w:val="15"/>
        </w:rPr>
        <w:br/>
        <w:t xml:space="preserve">     measure     named explicitly - primary order booking, primary sale/dispatch,</w:t>
      </w:r>
      <w:r>
        <w:rPr>
          <w:rFonts w:ascii="Courier New" w:cs="Courier New" w:eastAsia="Courier New" w:hAnsi="Courier New"/>
          <w:sz w:val="15"/>
          <w:szCs w:val="15"/>
        </w:rPr>
        <w:br/>
        <w:t xml:space="preserve">                 secondary order booking, or sales received</w:t>
      </w:r>
      <w:r>
        <w:rPr>
          <w:rFonts w:ascii="Courier New" w:cs="Courier New" w:eastAsia="Courier New" w:hAnsi="Courier New"/>
          <w:sz w:val="15"/>
          <w:szCs w:val="15"/>
        </w:rPr>
        <w:br/>
        <w:t xml:space="preserve">     value       the reconciled figure</w:t>
      </w:r>
      <w:r>
        <w:rPr>
          <w:rFonts w:ascii="Courier New" w:cs="Courier New" w:eastAsia="Courier New" w:hAnsi="Courier New"/>
          <w:sz w:val="15"/>
          <w:szCs w:val="15"/>
        </w:rPr>
        <w:br/>
        <w:t xml:space="preserve">     population  what is included and excluded (project and institutional business,</w:t>
      </w:r>
      <w:r>
        <w:rPr>
          <w:rFonts w:ascii="Courier New" w:cs="Courier New" w:eastAsia="Courier New" w:hAnsi="Courier New"/>
          <w:sz w:val="15"/>
          <w:szCs w:val="15"/>
        </w:rPr>
        <w:br/>
        <w:t xml:space="preserve">                 direct dealers, unassigned retailers)</w:t>
      </w:r>
      <w:r>
        <w:rPr>
          <w:rFonts w:ascii="Courier New" w:cs="Courier New" w:eastAsia="Courier New" w:hAnsi="Courier New"/>
          <w:sz w:val="15"/>
          <w:szCs w:val="15"/>
        </w:rPr>
        <w:br/>
        <w:t xml:space="preserve">     source      dashboard column, member sheet tab, register, or frozen table</w:t>
      </w:r>
      <w:r>
        <w:rPr>
          <w:rFonts w:ascii="Courier New" w:cs="Courier New" w:eastAsia="Courier New" w:hAnsi="Courier New"/>
          <w:sz w:val="15"/>
          <w:szCs w:val="15"/>
        </w:rPr>
        <w:br/>
        <w:t xml:space="preserve">     cutoff      the data cutoff for that node - PER MEMBER where they differ</w:t>
      </w:r>
      <w:r>
        <w:rPr>
          <w:rFonts w:ascii="Courier New" w:cs="Courier New" w:eastAsia="Courier New" w:hAnsi="Courier New"/>
          <w:sz w:val="15"/>
          <w:szCs w:val="15"/>
        </w:rPr>
        <w:br/>
        <w:t xml:space="preserve">     flags       every data-quality flag bearing on the figure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EDGES. Each node declares its parent and its children, and states whether the</w:t>
      </w:r>
      <w:r>
        <w:rPr>
          <w:rFonts w:ascii="Courier New" w:cs="Courier New" w:eastAsia="Courier New" w:hAnsi="Courier New"/>
          <w:sz w:val="15"/>
          <w:szCs w:val="15"/>
        </w:rPr>
        <w:br/>
        <w:t xml:space="preserve">   children SUM to the parent. Where they do not, the node must say so and give the</w:t>
      </w:r>
      <w:r>
        <w:rPr>
          <w:rFonts w:ascii="Courier New" w:cs="Courier New" w:eastAsia="Courier New" w:hAnsi="Courier New"/>
          <w:sz w:val="15"/>
          <w:szCs w:val="15"/>
        </w:rPr>
        <w:br/>
        <w:t xml:space="preserve">   residual. Known cases that must be represented honestly, not smoothed:</w:t>
      </w:r>
      <w:r>
        <w:rPr>
          <w:rFonts w:ascii="Courier New" w:cs="Courier New" w:eastAsia="Courier New" w:hAnsi="Courier New"/>
          <w:sz w:val="15"/>
          <w:szCs w:val="15"/>
        </w:rPr>
        <w:br/>
        <w:t xml:space="preserve">     - company secondary total vs the sum of heads: 164 customers sit in a</w:t>
      </w:r>
      <w:r>
        <w:rPr>
          <w:rFonts w:ascii="Courier New" w:cs="Courier New" w:eastAsia="Courier New" w:hAnsi="Courier New"/>
          <w:sz w:val="15"/>
          <w:szCs w:val="15"/>
        </w:rPr>
        <w:br/>
        <w:t xml:space="preserve">       'Non-territory / Project / Govt' bucket, 35 per cent of the FY2026-27 customer</w:t>
      </w:r>
      <w:r>
        <w:rPr>
          <w:rFonts w:ascii="Courier New" w:cs="Courier New" w:eastAsia="Courier New" w:hAnsi="Courier New"/>
          <w:sz w:val="15"/>
          <w:szCs w:val="15"/>
        </w:rPr>
        <w:br/>
        <w:t xml:space="preserve">       population and Rs 6.08 Cr, which belongs to no named head</w:t>
      </w:r>
      <w:r>
        <w:rPr>
          <w:rFonts w:ascii="Courier New" w:cs="Courier New" w:eastAsia="Courier New" w:hAnsi="Courier New"/>
          <w:sz w:val="15"/>
          <w:szCs w:val="15"/>
        </w:rPr>
        <w:br/>
        <w:t xml:space="preserve">     - a head's retailer detail covers only members with a mapped working sheet</w:t>
      </w:r>
      <w:r>
        <w:rPr>
          <w:rFonts w:ascii="Courier New" w:cs="Courier New" w:eastAsia="Courier New" w:hAnsi="Courier New"/>
          <w:sz w:val="15"/>
          <w:szCs w:val="15"/>
        </w:rPr>
        <w:br/>
        <w:t xml:space="preserve">     - primary-basis nodes include project and institutional business; secondary-basis</w:t>
      </w:r>
      <w:r>
        <w:rPr>
          <w:rFonts w:ascii="Courier New" w:cs="Courier New" w:eastAsia="Courier New" w:hAnsi="Courier New"/>
          <w:sz w:val="15"/>
          <w:szCs w:val="15"/>
        </w:rPr>
        <w:br/>
        <w:t xml:space="preserve">       nodes exclude it, so the two will never reconcile and each must say which it is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5. GAP NODES. Create explicit nodes for: live-year SKU and segment (no FY2026-27</w:t>
      </w:r>
      <w:r>
        <w:rPr>
          <w:rFonts w:ascii="Courier New" w:cs="Courier New" w:eastAsia="Courier New" w:hAnsi="Courier New"/>
          <w:sz w:val="15"/>
          <w:szCs w:val="15"/>
        </w:rPr>
        <w:br/>
        <w:t xml:space="preserve">   register), finished-goods cost (no fg_cost), receivables, scheme definitions</w:t>
      </w:r>
      <w:r>
        <w:rPr>
          <w:rFonts w:ascii="Courier New" w:cs="Courier New" w:eastAsia="Courier New" w:hAnsi="Courier New"/>
          <w:sz w:val="15"/>
          <w:szCs w:val="15"/>
        </w:rPr>
        <w:br/>
        <w:t xml:space="preserve">   (scheme_def empty, and the nudge engine reads a SEPARATE bundled JSON), mapping</w:t>
      </w:r>
      <w:r>
        <w:rPr>
          <w:rFonts w:ascii="Courier New" w:cs="Courier New" w:eastAsia="Courier New" w:hAnsi="Courier New"/>
          <w:sz w:val="15"/>
          <w:szCs w:val="15"/>
        </w:rPr>
        <w:br/>
        <w:t xml:space="preserve">   confidence (customer_master has zero rows), and the direct-dealer entity filter</w:t>
      </w:r>
      <w:r>
        <w:rPr>
          <w:rFonts w:ascii="Courier New" w:cs="Courier New" w:eastAsia="Courier New" w:hAnsi="Courier New"/>
          <w:sz w:val="15"/>
          <w:szCs w:val="15"/>
        </w:rPr>
        <w:br/>
        <w:t xml:space="preserve">   (type_raw holds product groups, returns zero every FY). Each carries a reason and</w:t>
      </w:r>
      <w:r>
        <w:rPr>
          <w:rFonts w:ascii="Courier New" w:cs="Courier New" w:eastAsia="Courier New" w:hAnsi="Courier New"/>
          <w:sz w:val="15"/>
          <w:szCs w:val="15"/>
        </w:rPr>
        <w:br/>
        <w:t xml:space="preserve">   what it blocks.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6. CROSS-FY IDENTITY. Before any two-year node is served, verify that the head or</w:t>
      </w:r>
      <w:r>
        <w:rPr>
          <w:rFonts w:ascii="Courier New" w:cs="Courier New" w:eastAsia="Courier New" w:hAnsi="Courier New"/>
          <w:sz w:val="15"/>
          <w:szCs w:val="15"/>
        </w:rPr>
        <w:br/>
        <w:t xml:space="preserve">   member key exists in BOTH years. FY2025-26 stores 'Sandeep Ji' where FY2026-27</w:t>
      </w:r>
      <w:r>
        <w:rPr>
          <w:rFonts w:ascii="Courier New" w:cs="Courier New" w:eastAsia="Courier New" w:hAnsi="Courier New"/>
          <w:sz w:val="15"/>
          <w:szCs w:val="15"/>
        </w:rPr>
        <w:br/>
        <w:t xml:space="preserve">   stores 'Sandeep Dadheech', so a naive two-year node returns last year as ZERO and</w:t>
      </w:r>
      <w:r>
        <w:rPr>
          <w:rFonts w:ascii="Courier New" w:cs="Courier New" w:eastAsia="Courier New" w:hAnsi="Courier New"/>
          <w:sz w:val="15"/>
          <w:szCs w:val="15"/>
        </w:rPr>
        <w:br/>
        <w:t xml:space="preserve">   growth as infinite. Report every key present in one fiscal year and absent in the</w:t>
      </w:r>
      <w:r>
        <w:rPr>
          <w:rFonts w:ascii="Courier New" w:cs="Courier New" w:eastAsia="Courier New" w:hAnsi="Courier New"/>
          <w:sz w:val="15"/>
          <w:szCs w:val="15"/>
        </w:rPr>
        <w:br/>
        <w:t xml:space="preserve">   other, and flag affected nodes with CROSS_FY_KEY_SPLIT rather than serving a</w:t>
      </w:r>
      <w:r>
        <w:rPr>
          <w:rFonts w:ascii="Courier New" w:cs="Courier New" w:eastAsia="Courier New" w:hAnsi="Courier New"/>
          <w:sz w:val="15"/>
          <w:szCs w:val="15"/>
        </w:rPr>
        <w:br/>
        <w:t xml:space="preserve">   silently wrong comparison.</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 - prove each by returning the node, never by asserting success:</w:t>
      </w:r>
      <w:r>
        <w:rPr>
          <w:rFonts w:ascii="Courier New" w:cs="Courier New" w:eastAsia="Courier New" w:hAnsi="Courier New"/>
          <w:sz w:val="15"/>
          <w:szCs w:val="15"/>
        </w:rPr>
        <w:br/>
        <w:t xml:space="preserve">  the index returns in full and lists every gap node with its reason</w:t>
      </w:r>
      <w:r>
        <w:rPr>
          <w:rFonts w:ascii="Courier New" w:cs="Courier New" w:eastAsia="Courier New" w:hAnsi="Courier New"/>
          <w:sz w:val="15"/>
          <w:szCs w:val="15"/>
        </w:rPr>
        <w:br/>
        <w:t xml:space="preserve">  company/2026-27 carries registered retailers 18,117, distributors 269, and secondary</w:t>
      </w:r>
      <w:r>
        <w:rPr>
          <w:rFonts w:ascii="Courier New" w:cs="Courier New" w:eastAsia="Courier New" w:hAnsi="Courier New"/>
          <w:sz w:val="15"/>
          <w:szCs w:val="15"/>
        </w:rPr>
        <w:br/>
        <w:t xml:space="preserve">    retail reach 11,338 marked NOT DEDUPLICATED</w:t>
      </w:r>
      <w:r>
        <w:rPr>
          <w:rFonts w:ascii="Courier New" w:cs="Courier New" w:eastAsia="Courier New" w:hAnsi="Courier New"/>
          <w:sz w:val="15"/>
          <w:szCs w:val="15"/>
        </w:rPr>
        <w:br/>
        <w:t xml:space="preserve">  company/2024-25 primary sale reads Rs 341.14 Cr and company/2025-26 Rs 359.52 Cr,</w:t>
      </w:r>
      <w:r>
        <w:rPr>
          <w:rFonts w:ascii="Courier New" w:cs="Courier New" w:eastAsia="Courier New" w:hAnsi="Courier New"/>
          <w:sz w:val="15"/>
          <w:szCs w:val="15"/>
        </w:rPr>
        <w:br/>
        <w:t xml:space="preserve">    both naming the register as source and stating that project business is included</w:t>
      </w:r>
      <w:r>
        <w:rPr>
          <w:rFonts w:ascii="Courier New" w:cs="Courier New" w:eastAsia="Courier New" w:hAnsi="Courier New"/>
          <w:sz w:val="15"/>
          <w:szCs w:val="15"/>
        </w:rPr>
        <w:br/>
        <w:t xml:space="preserve">  head/Anant Singh/2026-27 reads booking Rs 2.56 Cr, sale Rs 2.59 Cr, target</w:t>
      </w:r>
      <w:r>
        <w:rPr>
          <w:rFonts w:ascii="Courier New" w:cs="Courier New" w:eastAsia="Courier New" w:hAnsi="Courier New"/>
          <w:sz w:val="15"/>
          <w:szCs w:val="15"/>
        </w:rPr>
        <w:br/>
        <w:t xml:space="preserve">    Rs 4.96 Cr, achievement 51.7 per cent, 13 members, 11 with mapped sheets</w:t>
      </w:r>
      <w:r>
        <w:rPr>
          <w:rFonts w:ascii="Courier New" w:cs="Courier New" w:eastAsia="Courier New" w:hAnsi="Courier New"/>
          <w:sz w:val="15"/>
          <w:szCs w:val="15"/>
        </w:rPr>
        <w:br/>
        <w:t xml:space="preserve">  salesperson/Prasun Chatterjee/2026-27 reproduces 73 retailers, 34 active,</w:t>
      </w:r>
      <w:r>
        <w:rPr>
          <w:rFonts w:ascii="Courier New" w:cs="Courier New" w:eastAsia="Courier New" w:hAnsi="Courier New"/>
          <w:sz w:val="15"/>
          <w:szCs w:val="15"/>
        </w:rPr>
        <w:br/>
        <w:t xml:space="preserve">    Rs 26,21,109 booking, Rs 26,13,934 sale, 395 visits, 1,704 required, top-5 64.0</w:t>
      </w:r>
      <w:r>
        <w:rPr>
          <w:rFonts w:ascii="Courier New" w:cs="Courier New" w:eastAsia="Courier New" w:hAnsi="Courier New"/>
          <w:sz w:val="15"/>
          <w:szCs w:val="15"/>
        </w:rPr>
        <w:br/>
        <w:t xml:space="preserve">    per cent, effective retailers 9.9, cost ratio 5.94 per cent</w:t>
      </w:r>
      <w:r>
        <w:rPr>
          <w:rFonts w:ascii="Courier New" w:cs="Courier New" w:eastAsia="Courier New" w:hAnsi="Courier New"/>
          <w:sz w:val="15"/>
          <w:szCs w:val="15"/>
        </w:rPr>
        <w:br/>
        <w:t xml:space="preserve">  distributor/Jagdamba Traders/2026-27 shows 23 retailers and 86.1 per cent of party</w:t>
      </w:r>
      <w:r>
        <w:rPr>
          <w:rFonts w:ascii="Courier New" w:cs="Courier New" w:eastAsia="Courier New" w:hAnsi="Courier New"/>
          <w:sz w:val="15"/>
          <w:szCs w:val="15"/>
        </w:rPr>
        <w:br/>
        <w:t xml:space="preserve">    order booking in that territory</w:t>
      </w:r>
      <w:r>
        <w:rPr>
          <w:rFonts w:ascii="Courier New" w:cs="Courier New" w:eastAsia="Courier New" w:hAnsi="Courier New"/>
          <w:sz w:val="15"/>
          <w:szCs w:val="15"/>
        </w:rPr>
        <w:br/>
        <w:t xml:space="preserve">  retailer/Lamba traders/2026-27 shows Rs 5,49,072 and a 20.9 per cent share</w:t>
      </w:r>
      <w:r>
        <w:rPr>
          <w:rFonts w:ascii="Courier New" w:cs="Courier New" w:eastAsia="Courier New" w:hAnsi="Courier New"/>
          <w:sz w:val="15"/>
          <w:szCs w:val="15"/>
        </w:rPr>
        <w:br/>
        <w:t xml:space="preserve">  the month nodes under Prasun read Apr Rs 4,15,011, May Rs 9,45,801, Jun Rs 12,60,297,</w:t>
      </w:r>
      <w:r>
        <w:rPr>
          <w:rFonts w:ascii="Courier New" w:cs="Courier New" w:eastAsia="Courier New" w:hAnsi="Courier New"/>
          <w:sz w:val="15"/>
          <w:szCs w:val="15"/>
        </w:rPr>
        <w:br/>
        <w:t xml:space="preserve">    and July is absent rather than zero</w:t>
      </w:r>
      <w:r>
        <w:rPr>
          <w:rFonts w:ascii="Courier New" w:cs="Courier New" w:eastAsia="Courier New" w:hAnsi="Courier New"/>
          <w:sz w:val="15"/>
          <w:szCs w:val="15"/>
        </w:rPr>
        <w:br/>
        <w:t xml:space="preserve">  head/*/2026-27 returns all eleven heads and reports the residual against the company</w:t>
      </w:r>
      <w:r>
        <w:rPr>
          <w:rFonts w:ascii="Courier New" w:cs="Courier New" w:eastAsia="Courier New" w:hAnsi="Courier New"/>
          <w:sz w:val="15"/>
          <w:szCs w:val="15"/>
        </w:rPr>
        <w:br/>
        <w:t xml:space="preserve">    node, naming the 164 non-territory customers</w:t>
      </w:r>
      <w:r>
        <w:rPr>
          <w:rFonts w:ascii="Courier New" w:cs="Courier New" w:eastAsia="Courier New" w:hAnsi="Courier New"/>
          <w:sz w:val="15"/>
          <w:szCs w:val="15"/>
        </w:rPr>
        <w:br/>
        <w:t xml:space="preserve">  a two-year node for Sandeep Dadheech is FLAGGED with CROSS_FY_KEY_SPLIT, not served</w:t>
      </w:r>
      <w:r>
        <w:rPr>
          <w:rFonts w:ascii="Courier New" w:cs="Courier New" w:eastAsia="Courier New" w:hAnsi="Courier New"/>
          <w:sz w:val="15"/>
          <w:szCs w:val="15"/>
        </w:rPr>
        <w:br/>
        <w:t xml:space="preserve">    as zero prior-year</w:t>
      </w:r>
      <w:r>
        <w:rPr>
          <w:rFonts w:ascii="Courier New" w:cs="Courier New" w:eastAsia="Courier New" w:hAnsi="Courier New"/>
          <w:sz w:val="15"/>
          <w:szCs w:val="15"/>
        </w:rPr>
        <w:br/>
        <w:t xml:space="preserve">  requesting more nodes than the cap returns an explicit truncation response</w:t>
      </w:r>
    </w:p>
    <w:p>
      <w:pPr>
        <w:pStyle w:val="Heading1"/>
        <w:spacing w:after="100" w:before="240"/>
      </w:pPr>
      <w:r>
        <w:rPr>
          <w:b/>
          <w:bCs/>
        </w:rPr>
        <w:t xml:space="preserve">Prompt A8-B - widen the AI Analytics page</w:t>
      </w:r>
    </w:p>
    <w:p>
      <w:pPr>
        <w:spacing w:after="20" w:before="100"/>
      </w:pPr>
      <w:r>
        <w:rPr>
          <w:b/>
          <w:bCs/>
          <w:i/>
          <w:iCs/>
          <w:color w:val="444444"/>
        </w:rPr>
        <w:t xml:space="preserve">PROMPT - A8-B</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Phase A8-B. Same global rules. Depends on A8-A being proved.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Goal: the Ask Claude box answers questions across the WHOLE application, not only the</w:t>
      </w:r>
      <w:r>
        <w:rPr>
          <w:rFonts w:ascii="Courier New" w:cs="Courier New" w:eastAsia="Courier New" w:hAnsi="Courier New"/>
          <w:sz w:val="15"/>
          <w:szCs w:val="15"/>
        </w:rPr>
        <w:br/>
        <w:t xml:space="preserve">questions the original payload anticipated.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Replace the fixed payload with graph traversal. On each question:</w:t>
      </w:r>
      <w:r>
        <w:rPr>
          <w:rFonts w:ascii="Courier New" w:cs="Courier New" w:eastAsia="Courier New" w:hAnsi="Courier New"/>
          <w:sz w:val="15"/>
          <w:szCs w:val="15"/>
        </w:rPr>
        <w:br/>
        <w:t xml:space="preserve">     a) send the graph INDEX plus the nodes for the current page selection</w:t>
      </w:r>
      <w:r>
        <w:rPr>
          <w:rFonts w:ascii="Courier New" w:cs="Courier New" w:eastAsia="Courier New" w:hAnsi="Courier New"/>
          <w:sz w:val="15"/>
          <w:szCs w:val="15"/>
        </w:rPr>
        <w:br/>
        <w:t xml:space="preserve">     b) allow the model to request further nodes by path, several rounds if needed</w:t>
      </w:r>
      <w:r>
        <w:rPr>
          <w:rFonts w:ascii="Courier New" w:cs="Courier New" w:eastAsia="Courier New" w:hAnsi="Courier New"/>
          <w:sz w:val="15"/>
          <w:szCs w:val="15"/>
        </w:rPr>
        <w:br/>
        <w:t xml:space="preserve">     c) answer only from nodes actually returned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SYSTEM PROMPT RULES - these are the guardrails and none may be relaxed:</w:t>
      </w:r>
      <w:r>
        <w:rPr>
          <w:rFonts w:ascii="Courier New" w:cs="Courier New" w:eastAsia="Courier New" w:hAnsi="Courier New"/>
          <w:sz w:val="15"/>
          <w:szCs w:val="15"/>
        </w:rPr>
        <w:br/>
        <w:t xml:space="preserve">     - Use ONLY values present in returned nodes. NEVER calculate a new figure, derive</w:t>
      </w:r>
      <w:r>
        <w:rPr>
          <w:rFonts w:ascii="Courier New" w:cs="Courier New" w:eastAsia="Courier New" w:hAnsi="Courier New"/>
          <w:sz w:val="15"/>
          <w:szCs w:val="15"/>
        </w:rPr>
        <w:br/>
        <w:t xml:space="preserve">       a ratio that is not in a node, estimate, or interpolate.</w:t>
      </w:r>
      <w:r>
        <w:rPr>
          <w:rFonts w:ascii="Courier New" w:cs="Courier New" w:eastAsia="Courier New" w:hAnsi="Courier New"/>
          <w:sz w:val="15"/>
          <w:szCs w:val="15"/>
        </w:rPr>
        <w:br/>
        <w:t xml:space="preserve">     - Selecting, comparing, ranking and explaining across returned nodes is allowed</w:t>
      </w:r>
      <w:r>
        <w:rPr>
          <w:rFonts w:ascii="Courier New" w:cs="Courier New" w:eastAsia="Courier New" w:hAnsi="Courier New"/>
          <w:sz w:val="15"/>
          <w:szCs w:val="15"/>
        </w:rPr>
        <w:br/>
        <w:t xml:space="preserve">       and is the point. Arithmetic is not.</w:t>
      </w:r>
      <w:r>
        <w:rPr>
          <w:rFonts w:ascii="Courier New" w:cs="Courier New" w:eastAsia="Courier New" w:hAnsi="Courier New"/>
          <w:sz w:val="15"/>
          <w:szCs w:val="15"/>
        </w:rPr>
        <w:br/>
        <w:t xml:space="preserve">     - Cite the node path behind every number given.</w:t>
      </w:r>
      <w:r>
        <w:rPr>
          <w:rFonts w:ascii="Courier New" w:cs="Courier New" w:eastAsia="Courier New" w:hAnsi="Courier New"/>
          <w:sz w:val="15"/>
          <w:szCs w:val="15"/>
        </w:rPr>
        <w:br/>
        <w:t xml:space="preserve">     - Never compare two nodes whose MEASURE or POPULATION differ without saying so.</w:t>
      </w:r>
      <w:r>
        <w:rPr>
          <w:rFonts w:ascii="Courier New" w:cs="Courier New" w:eastAsia="Courier New" w:hAnsi="Courier New"/>
          <w:sz w:val="15"/>
          <w:szCs w:val="15"/>
        </w:rPr>
        <w:br/>
        <w:t xml:space="preserve">       Primary and secondary bases will never reconcile; say that rather than</w:t>
      </w:r>
      <w:r>
        <w:rPr>
          <w:rFonts w:ascii="Courier New" w:cs="Courier New" w:eastAsia="Courier New" w:hAnsi="Courier New"/>
          <w:sz w:val="15"/>
          <w:szCs w:val="15"/>
        </w:rPr>
        <w:br/>
        <w:t xml:space="preserve">       reporting a discrepancy.</w:t>
      </w:r>
      <w:r>
        <w:rPr>
          <w:rFonts w:ascii="Courier New" w:cs="Courier New" w:eastAsia="Courier New" w:hAnsi="Courier New"/>
          <w:sz w:val="15"/>
          <w:szCs w:val="15"/>
        </w:rPr>
        <w:br/>
        <w:t xml:space="preserve">     - If answering needs a node that does not exist, say what is missing and why,</w:t>
      </w:r>
      <w:r>
        <w:rPr>
          <w:rFonts w:ascii="Courier New" w:cs="Courier New" w:eastAsia="Courier New" w:hAnsi="Courier New"/>
          <w:sz w:val="15"/>
          <w:szCs w:val="15"/>
        </w:rPr>
        <w:br/>
        <w:t xml:space="preserve">       using the gap node's own reason. Do not answer anyway.</w:t>
      </w:r>
      <w:r>
        <w:rPr>
          <w:rFonts w:ascii="Courier New" w:cs="Courier New" w:eastAsia="Courier New" w:hAnsi="Courier New"/>
          <w:sz w:val="15"/>
          <w:szCs w:val="15"/>
        </w:rPr>
        <w:br/>
        <w:t xml:space="preserve">     - Volunteer any flag on a node used in the answer.</w:t>
      </w:r>
      <w:r>
        <w:rPr>
          <w:rFonts w:ascii="Courier New" w:cs="Courier New" w:eastAsia="Courier New" w:hAnsi="Courier New"/>
          <w:sz w:val="15"/>
          <w:szCs w:val="15"/>
        </w:rPr>
        <w:br/>
        <w:t xml:space="preserve">     - If a node is flagged CROSS_FY_KEY_SPLIT, do not present its year-on-year</w:t>
      </w:r>
      <w:r>
        <w:rPr>
          <w:rFonts w:ascii="Courier New" w:cs="Courier New" w:eastAsia="Courier New" w:hAnsi="Courier New"/>
          <w:sz w:val="15"/>
          <w:szCs w:val="15"/>
        </w:rPr>
        <w:br/>
        <w:t xml:space="preserve">       comparison as fact.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Run the numeric guard on answers: every figure in the response must match a value</w:t>
      </w:r>
      <w:r>
        <w:rPr>
          <w:rFonts w:ascii="Courier New" w:cs="Courier New" w:eastAsia="Courier New" w:hAnsi="Courier New"/>
          <w:sz w:val="15"/>
          <w:szCs w:val="15"/>
        </w:rPr>
        <w:br/>
        <w:t xml:space="preserve">   in a returned node. Mark unmatched figures visibly rather than hiding them.</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Show the traversal. Under each answer, list the node paths consulted, so a reader</w:t>
      </w:r>
      <w:r>
        <w:rPr>
          <w:rFonts w:ascii="Courier New" w:cs="Courier New" w:eastAsia="Courier New" w:hAnsi="Courier New"/>
          <w:sz w:val="15"/>
          <w:szCs w:val="15"/>
        </w:rPr>
        <w:br/>
        <w:t xml:space="preserve">   can see what the answer rests on and go look at the same figures.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 - these are questions the current page CANNOT answer and must now handle:</w:t>
      </w:r>
      <w:r>
        <w:rPr>
          <w:rFonts w:ascii="Courier New" w:cs="Courier New" w:eastAsia="Courier New" w:hAnsi="Courier New"/>
          <w:sz w:val="15"/>
          <w:szCs w:val="15"/>
        </w:rPr>
        <w:br/>
        <w:t xml:space="preserve">  'which distributor carries the most concentration risk in Anant Singh's territory'</w:t>
      </w:r>
      <w:r>
        <w:rPr>
          <w:rFonts w:ascii="Courier New" w:cs="Courier New" w:eastAsia="Courier New" w:hAnsi="Courier New"/>
          <w:sz w:val="15"/>
          <w:szCs w:val="15"/>
        </w:rPr>
        <w:br/>
        <w:t xml:space="preserve">    -&gt; names Jagdamba Traders at 86.1 per cent of party order booking, citing the node</w:t>
      </w:r>
      <w:r>
        <w:rPr>
          <w:rFonts w:ascii="Courier New" w:cs="Courier New" w:eastAsia="Courier New" w:hAnsi="Courier New"/>
          <w:sz w:val="15"/>
          <w:szCs w:val="15"/>
        </w:rPr>
        <w:br/>
        <w:t xml:space="preserve">  'why is Ravi Faridabad at 5.6 per cent' -&gt; reaches the retailer level and reports</w:t>
      </w:r>
      <w:r>
        <w:rPr>
          <w:rFonts w:ascii="Courier New" w:cs="Courier New" w:eastAsia="Courier New" w:hAnsi="Courier New"/>
          <w:sz w:val="15"/>
          <w:szCs w:val="15"/>
        </w:rPr>
        <w:br/>
        <w:t xml:space="preserve">    that 30 of his 38 retailers have no assigned distributor</w:t>
      </w:r>
      <w:r>
        <w:rPr>
          <w:rFonts w:ascii="Courier New" w:cs="Courier New" w:eastAsia="Courier New" w:hAnsi="Courier New"/>
          <w:sz w:val="15"/>
          <w:szCs w:val="15"/>
        </w:rPr>
        <w:br/>
        <w:t xml:space="preserve">  'compare Prasun and Tarun Giri on unassigned retailers' -&gt; 30 of 73 against 11 of 54,</w:t>
      </w:r>
      <w:r>
        <w:rPr>
          <w:rFonts w:ascii="Courier New" w:cs="Courier New" w:eastAsia="Courier New" w:hAnsi="Courier New"/>
          <w:sz w:val="15"/>
          <w:szCs w:val="15"/>
        </w:rPr>
        <w:br/>
        <w:t xml:space="preserve">    with both node paths cited</w:t>
      </w:r>
      <w:r>
        <w:rPr>
          <w:rFonts w:ascii="Courier New" w:cs="Courier New" w:eastAsia="Courier New" w:hAnsi="Courier New"/>
          <w:sz w:val="15"/>
          <w:szCs w:val="15"/>
        </w:rPr>
        <w:br/>
        <w:t xml:space="preserve">  'which month was strongest for Prasun' -&gt; June at Rs 12,60,297, and states that July</w:t>
      </w:r>
      <w:r>
        <w:rPr>
          <w:rFonts w:ascii="Courier New" w:cs="Courier New" w:eastAsia="Courier New" w:hAnsi="Courier New"/>
          <w:sz w:val="15"/>
          <w:szCs w:val="15"/>
        </w:rPr>
        <w:br/>
        <w:t xml:space="preserve">    is absent because data ends 30 June - NOT that July was zero</w:t>
      </w:r>
      <w:r>
        <w:rPr>
          <w:rFonts w:ascii="Courier New" w:cs="Courier New" w:eastAsia="Courier New" w:hAnsi="Courier New"/>
          <w:sz w:val="15"/>
          <w:szCs w:val="15"/>
        </w:rPr>
        <w:br/>
        <w:t xml:space="preserve">  'what is the company secondary total' -&gt; gives it AND notes that 164 customers sit</w:t>
      </w:r>
      <w:r>
        <w:rPr>
          <w:rFonts w:ascii="Courier New" w:cs="Courier New" w:eastAsia="Courier New" w:hAnsi="Courier New"/>
          <w:sz w:val="15"/>
          <w:szCs w:val="15"/>
        </w:rPr>
        <w:br/>
        <w:t xml:space="preserve">    outside named heads, so the heads do not sum to it</w:t>
      </w:r>
      <w:r>
        <w:rPr>
          <w:rFonts w:ascii="Courier New" w:cs="Courier New" w:eastAsia="Courier New" w:hAnsi="Courier New"/>
          <w:sz w:val="15"/>
          <w:szCs w:val="15"/>
        </w:rPr>
        <w:br/>
        <w:t xml:space="preserve">  'which SKU sells best for Prasun this year' -&gt; states no FY2026-27 register exists</w:t>
      </w:r>
      <w:r>
        <w:rPr>
          <w:rFonts w:ascii="Courier New" w:cs="Courier New" w:eastAsia="Courier New" w:hAnsi="Courier New"/>
          <w:sz w:val="15"/>
          <w:szCs w:val="15"/>
        </w:rPr>
        <w:br/>
        <w:t xml:space="preserve">    and that item-code detail is available for closed years only</w:t>
      </w:r>
      <w:r>
        <w:rPr>
          <w:rFonts w:ascii="Courier New" w:cs="Courier New" w:eastAsia="Courier New" w:hAnsi="Courier New"/>
          <w:sz w:val="15"/>
          <w:szCs w:val="15"/>
        </w:rPr>
        <w:br/>
        <w:t xml:space="preserve">  'what is the margin on water tanks' -&gt; states no finished-goods cost master exists</w:t>
      </w:r>
      <w:r>
        <w:rPr>
          <w:rFonts w:ascii="Courier New" w:cs="Courier New" w:eastAsia="Courier New" w:hAnsi="Courier New"/>
          <w:sz w:val="15"/>
          <w:szCs w:val="15"/>
        </w:rPr>
        <w:br/>
        <w:t xml:space="preserve">  'how did Sandeep Dadheech grow year on year' -&gt; reports the key split rather than</w:t>
      </w:r>
      <w:r>
        <w:rPr>
          <w:rFonts w:ascii="Courier New" w:cs="Courier New" w:eastAsia="Courier New" w:hAnsi="Courier New"/>
          <w:sz w:val="15"/>
          <w:szCs w:val="15"/>
        </w:rPr>
        <w:br/>
        <w:t xml:space="preserve">    showing last year as zero</w:t>
      </w:r>
      <w:r>
        <w:rPr>
          <w:rFonts w:ascii="Courier New" w:cs="Courier New" w:eastAsia="Courier New" w:hAnsi="Courier New"/>
          <w:sz w:val="15"/>
          <w:szCs w:val="15"/>
        </w:rPr>
        <w:br/>
        <w:t xml:space="preserve">  every numeric answer cites its node path and passes the numeric guard</w:t>
      </w:r>
    </w:p>
    <w:p>
      <w:pPr>
        <w:pStyle w:val="Heading1"/>
        <w:spacing w:after="100" w:before="240"/>
      </w:pPr>
      <w:r>
        <w:rPr>
          <w:b/>
          <w:bCs/>
        </w:rPr>
        <w:t xml:space="preserve">Prompt A8-C - widen the AI Reports page</w:t>
      </w:r>
    </w:p>
    <w:p>
      <w:pPr>
        <w:spacing w:after="20" w:before="100"/>
      </w:pPr>
      <w:r>
        <w:rPr>
          <w:b/>
          <w:bCs/>
          <w:i/>
          <w:iCs/>
          <w:color w:val="444444"/>
        </w:rPr>
        <w:t xml:space="preserve">PROMPT - A8-C</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Phase A8-C. Same global rules. Depends on A8-A and A8-B.</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Goal: the AI Reports page generates from the graph rather than the fixed payload, so</w:t>
      </w:r>
      <w:r>
        <w:rPr>
          <w:rFonts w:ascii="Courier New" w:cs="Courier New" w:eastAsia="Courier New" w:hAnsi="Courier New"/>
          <w:sz w:val="15"/>
          <w:szCs w:val="15"/>
        </w:rPr>
        <w:br/>
        <w:t xml:space="preserve">reports can go deeper and can be requested at levels the original spec did not cover.</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Every existing artifact - State Head report, member report, suggestions, visit</w:t>
      </w:r>
      <w:r>
        <w:rPr>
          <w:rFonts w:ascii="Courier New" w:cs="Courier New" w:eastAsia="Courier New" w:hAnsi="Courier New"/>
          <w:sz w:val="15"/>
          <w:szCs w:val="15"/>
        </w:rPr>
        <w:br/>
        <w:t xml:space="preserve">   plan, deck, performance review - now sources from graph nodes. The numeric guard</w:t>
      </w:r>
      <w:r>
        <w:rPr>
          <w:rFonts w:ascii="Courier New" w:cs="Courier New" w:eastAsia="Courier New" w:hAnsi="Courier New"/>
          <w:sz w:val="15"/>
          <w:szCs w:val="15"/>
        </w:rPr>
        <w:br/>
        <w:t xml:space="preserve">   and the no-arithmetic rule apply unchanged.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NEW ARTIFACT LEVELS the graph makes possible:</w:t>
      </w:r>
      <w:r>
        <w:rPr>
          <w:rFonts w:ascii="Courier New" w:cs="Courier New" w:eastAsia="Courier New" w:hAnsi="Courier New"/>
          <w:sz w:val="15"/>
          <w:szCs w:val="15"/>
        </w:rPr>
        <w:br/>
        <w:t xml:space="preserve">     - Company report: all eleven heads compared on the same measure, with the</w:t>
      </w:r>
      <w:r>
        <w:rPr>
          <w:rFonts w:ascii="Courier New" w:cs="Courier New" w:eastAsia="Courier New" w:hAnsi="Courier New"/>
          <w:sz w:val="15"/>
          <w:szCs w:val="15"/>
        </w:rPr>
        <w:br/>
        <w:t xml:space="preserve">       non-territory residual stated</w:t>
      </w:r>
      <w:r>
        <w:rPr>
          <w:rFonts w:ascii="Courier New" w:cs="Courier New" w:eastAsia="Courier New" w:hAnsi="Courier New"/>
          <w:sz w:val="15"/>
          <w:szCs w:val="15"/>
        </w:rPr>
        <w:br/>
        <w:t xml:space="preserve">     - Distributor report: one per distributor, with flows, concentration both ways,</w:t>
      </w:r>
      <w:r>
        <w:rPr>
          <w:rFonts w:ascii="Courier New" w:cs="Courier New" w:eastAsia="Courier New" w:hAnsi="Courier New"/>
          <w:sz w:val="15"/>
          <w:szCs w:val="15"/>
        </w:rPr>
        <w:br/>
        <w:t xml:space="preserve">       territory coverage and tier</w:t>
      </w:r>
      <w:r>
        <w:rPr>
          <w:rFonts w:ascii="Courier New" w:cs="Courier New" w:eastAsia="Courier New" w:hAnsi="Courier New"/>
          <w:sz w:val="15"/>
          <w:szCs w:val="15"/>
        </w:rPr>
        <w:br/>
        <w:t xml:space="preserve">     - Retailer-segment report: coverage and whitespace for a district or a territory</w:t>
      </w:r>
      <w:r>
        <w:rPr>
          <w:rFonts w:ascii="Courier New" w:cs="Courier New" w:eastAsia="Courier New" w:hAnsi="Courier New"/>
          <w:sz w:val="15"/>
          <w:szCs w:val="15"/>
        </w:rPr>
        <w:br/>
        <w:t xml:space="preserve">     - Period comparison: any node against the same node in a prior period, subject to</w:t>
      </w:r>
      <w:r>
        <w:rPr>
          <w:rFonts w:ascii="Courier New" w:cs="Courier New" w:eastAsia="Courier New" w:hAnsi="Courier New"/>
          <w:sz w:val="15"/>
          <w:szCs w:val="15"/>
        </w:rPr>
        <w:br/>
        <w:t xml:space="preserve">       the CROSS_FY_KEY_SPLIT check</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AD-HOC REPORTS. Allow a report to be requested in words - for example 'a report on</w:t>
      </w:r>
      <w:r>
        <w:rPr>
          <w:rFonts w:ascii="Courier New" w:cs="Courier New" w:eastAsia="Courier New" w:hAnsi="Courier New"/>
          <w:sz w:val="15"/>
          <w:szCs w:val="15"/>
        </w:rPr>
        <w:br/>
        <w:t xml:space="preserve">   distributor concentration across every State Head'. The app resolves the request to</w:t>
      </w:r>
      <w:r>
        <w:rPr>
          <w:rFonts w:ascii="Courier New" w:cs="Courier New" w:eastAsia="Courier New" w:hAnsi="Courier New"/>
          <w:sz w:val="15"/>
          <w:szCs w:val="15"/>
        </w:rPr>
        <w:br/>
        <w:t xml:space="preserve">   a set of node paths, shows the user WHICH NODES will be used before generating, and</w:t>
      </w:r>
      <w:r>
        <w:rPr>
          <w:rFonts w:ascii="Courier New" w:cs="Courier New" w:eastAsia="Courier New" w:hAnsi="Courier New"/>
          <w:sz w:val="15"/>
          <w:szCs w:val="15"/>
        </w:rPr>
        <w:br/>
        <w:t xml:space="preserve">   generates only from those. If the request needs a gap node, say so up front rather</w:t>
      </w:r>
      <w:r>
        <w:rPr>
          <w:rFonts w:ascii="Courier New" w:cs="Courier New" w:eastAsia="Courier New" w:hAnsi="Courier New"/>
          <w:sz w:val="15"/>
          <w:szCs w:val="15"/>
        </w:rPr>
        <w:br/>
        <w:t xml:space="preserve">   than producing a report with a hole in it.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Every report states its own coverage. A head report must say how many members have</w:t>
      </w:r>
      <w:r>
        <w:rPr>
          <w:rFonts w:ascii="Courier New" w:cs="Courier New" w:eastAsia="Courier New" w:hAnsi="Courier New"/>
          <w:sz w:val="15"/>
          <w:szCs w:val="15"/>
        </w:rPr>
        <w:br/>
        <w:t xml:space="preserve">   a mapped working sheet and that retailer figures cover only those. A company report</w:t>
      </w:r>
      <w:r>
        <w:rPr>
          <w:rFonts w:ascii="Courier New" w:cs="Courier New" w:eastAsia="Courier New" w:hAnsi="Courier New"/>
          <w:sz w:val="15"/>
          <w:szCs w:val="15"/>
        </w:rPr>
        <w:br/>
        <w:t xml:space="preserve">   must state the 164 non-territory customers. This is what stops a correct-looking</w:t>
      </w:r>
      <w:r>
        <w:rPr>
          <w:rFonts w:ascii="Courier New" w:cs="Courier New" w:eastAsia="Courier New" w:hAnsi="Courier New"/>
          <w:sz w:val="15"/>
          <w:szCs w:val="15"/>
        </w:rPr>
        <w:br/>
        <w:t xml:space="preserve">   document being quietly incomplete - the numeric guard cannot catch it, because</w:t>
      </w:r>
      <w:r>
        <w:rPr>
          <w:rFonts w:ascii="Courier New" w:cs="Courier New" w:eastAsia="Courier New" w:hAnsi="Courier New"/>
          <w:sz w:val="15"/>
          <w:szCs w:val="15"/>
        </w:rPr>
        <w:br/>
        <w:t xml:space="preserve">   every figure would be right for the population it covers.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w:t>
      </w:r>
      <w:r>
        <w:rPr>
          <w:rFonts w:ascii="Courier New" w:cs="Courier New" w:eastAsia="Courier New" w:hAnsi="Courier New"/>
          <w:sz w:val="15"/>
          <w:szCs w:val="15"/>
        </w:rPr>
        <w:br/>
        <w:t xml:space="preserve">  every existing artifact regenerates from graph nodes with figures unchanged - verify</w:t>
      </w:r>
      <w:r>
        <w:rPr>
          <w:rFonts w:ascii="Courier New" w:cs="Courier New" w:eastAsia="Courier New" w:hAnsi="Courier New"/>
          <w:sz w:val="15"/>
          <w:szCs w:val="15"/>
        </w:rPr>
        <w:br/>
        <w:t xml:space="preserve">    against the Anant Singh pack: booking Rs 2.56 Cr, target Rs 4.96 Cr, 854 retailers</w:t>
      </w:r>
      <w:r>
        <w:rPr>
          <w:rFonts w:ascii="Courier New" w:cs="Courier New" w:eastAsia="Courier New" w:hAnsi="Courier New"/>
          <w:sz w:val="15"/>
          <w:szCs w:val="15"/>
        </w:rPr>
        <w:br/>
        <w:t xml:space="preserve">    across 11 mapped members, 381 with no assigned distributor, 828 visits to them</w:t>
      </w:r>
      <w:r>
        <w:rPr>
          <w:rFonts w:ascii="Courier New" w:cs="Courier New" w:eastAsia="Courier New" w:hAnsi="Courier New"/>
          <w:sz w:val="15"/>
          <w:szCs w:val="15"/>
        </w:rPr>
        <w:br/>
        <w:t xml:space="preserve">  a company report generates across all eleven heads and states the non-territory</w:t>
      </w:r>
      <w:r>
        <w:rPr>
          <w:rFonts w:ascii="Courier New" w:cs="Courier New" w:eastAsia="Courier New" w:hAnsi="Courier New"/>
          <w:sz w:val="15"/>
          <w:szCs w:val="15"/>
        </w:rPr>
        <w:br/>
        <w:t xml:space="preserve">    residual</w:t>
      </w:r>
      <w:r>
        <w:rPr>
          <w:rFonts w:ascii="Courier New" w:cs="Courier New" w:eastAsia="Courier New" w:hAnsi="Courier New"/>
          <w:sz w:val="15"/>
          <w:szCs w:val="15"/>
        </w:rPr>
        <w:br/>
        <w:t xml:space="preserve">  a distributor report generates for Jagdamba Traders showing 86.1 per cent</w:t>
      </w:r>
      <w:r>
        <w:rPr>
          <w:rFonts w:ascii="Courier New" w:cs="Courier New" w:eastAsia="Courier New" w:hAnsi="Courier New"/>
          <w:sz w:val="15"/>
          <w:szCs w:val="15"/>
        </w:rPr>
        <w:br/>
        <w:t xml:space="preserve">  an ad-hoc request lists its node paths before generating</w:t>
      </w:r>
      <w:r>
        <w:rPr>
          <w:rFonts w:ascii="Courier New" w:cs="Courier New" w:eastAsia="Courier New" w:hAnsi="Courier New"/>
          <w:sz w:val="15"/>
          <w:szCs w:val="15"/>
        </w:rPr>
        <w:br/>
        <w:t xml:space="preserve">  a request that needs a gap node reports the gap instead of generating</w:t>
      </w:r>
      <w:r>
        <w:rPr>
          <w:rFonts w:ascii="Courier New" w:cs="Courier New" w:eastAsia="Courier New" w:hAnsi="Courier New"/>
          <w:sz w:val="15"/>
          <w:szCs w:val="15"/>
        </w:rPr>
        <w:br/>
        <w:t xml:space="preserve">  every report states its own coverage</w:t>
      </w:r>
      <w:r>
        <w:rPr>
          <w:rFonts w:ascii="Courier New" w:cs="Courier New" w:eastAsia="Courier New" w:hAnsi="Courier New"/>
          <w:sz w:val="15"/>
          <w:szCs w:val="15"/>
        </w:rPr>
        <w:br/>
        <w:t xml:space="preserve">  all reports still pass the numeric guard with zero unmatched figures</w:t>
      </w:r>
    </w:p>
    <w:p>
      <w:pPr>
        <w:pStyle w:val="Heading1"/>
        <w:spacing w:after="100" w:before="240"/>
      </w:pPr>
      <w:r>
        <w:rPr>
          <w:b/>
          <w:bCs/>
        </w:rPr>
        <w:t xml:space="preserve">What to watch</w:t>
      </w:r>
    </w:p>
    <w:p>
      <w:pPr>
        <w:spacing w:after="40"/>
        <w:ind w:left="360"/>
      </w:pPr>
      <w:r>
        <w:t xml:space="preserve">- The single biggest risk is the no-arithmetic rule being quietly relaxed to make broader questions answerable. Inspect what is actually sent to the API: if raw rows appear in a prompt, arithmetic has crept back in and every reconciliation guarantee is void.</w:t>
      </w:r>
    </w:p>
    <w:p>
      <w:pPr>
        <w:spacing w:after="40"/>
        <w:ind w:left="360"/>
      </w:pPr>
      <w:r>
        <w:t xml:space="preserve">- Watch for silent truncation. A graph request that exceeds the cap must return an explicit truncation response. A truncated graph produces an answer that reads as complete and is not.</w:t>
      </w:r>
    </w:p>
    <w:p>
      <w:pPr>
        <w:spacing w:after="40"/>
        <w:ind w:left="360"/>
      </w:pPr>
      <w:r>
        <w:t xml:space="preserve">- A8-A must reuse existing computation. If the agent writes fresh formulas for graph nodes, there are now two sources of truth and they will diverge - ask which function each node calls.</w:t>
      </w:r>
    </w:p>
    <w:p>
      <w:pPr>
        <w:spacing w:after="40"/>
        <w:ind w:left="360"/>
      </w:pPr>
      <w:r>
        <w:t xml:space="preserve">- Test the gap questions deliberately. Ask about live-year SKU and about margin. Both must return the gap reason. A plausible answer to either means the model is filling holes.</w:t>
      </w:r>
    </w:p>
    <w:p>
      <w:pPr>
        <w:spacing w:after="40"/>
        <w:ind w:left="360"/>
      </w:pPr>
      <w:r>
        <w:t xml:space="preserve">- The CROSS_FY_KEY_SPLIT check matters more once reports generate from the graph. The Sandeep Ji split is known; the per-fiscal-year key diff has still never been run, and PAWAN KUMAR and AQIL RIZVI look like the same shape.</w:t>
      </w:r>
    </w:p>
    <w:p>
      <w:pPr>
        <w:spacing w:after="40"/>
        <w:ind w:left="360"/>
      </w:pPr>
      <w:r>
        <w:t xml:space="preserve">- Prove it on Prasun first, as with every other phase. His figures are known to the rupee, so a wrong node is visible immediately.</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A8 - metrics graph</dc:title>
  <dc:creator>Prayag AI Team</dc:creator>
  <cp:lastModifiedBy>Un-named</cp:lastModifiedBy>
  <cp:revision>1</cp:revision>
  <dcterms:created xsi:type="dcterms:W3CDTF">2026-07-26T07:29:33.516Z</dcterms:created>
  <dcterms:modified xsi:type="dcterms:W3CDTF">2026-07-26T07:29:33.530Z</dcterms:modified>
</cp:coreProperties>
</file>

<file path=docProps/custom.xml><?xml version="1.0" encoding="utf-8"?>
<Properties xmlns="http://schemas.openxmlformats.org/officeDocument/2006/custom-properties" xmlns:vt="http://schemas.openxmlformats.org/officeDocument/2006/docPropsVTypes"/>
</file>