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0"/>
        </w:rPr>
        <w:t>MRP History Source Assessment</w:t>
      </w:r>
    </w:p>
    <w:p>
      <w:pPr>
        <w:jc w:val="center"/>
      </w:pPr>
      <w:r>
        <w:rPr>
          <w:i/>
          <w:color w:val="595959"/>
          <w:sz w:val="22"/>
        </w:rPr>
        <w:t>Read-only production investigation • 8 September 2026</w:t>
      </w:r>
    </w:p>
    <w:p>
      <w:pPr>
        <w:jc w:val="center"/>
      </w:pPr>
      <w:r>
        <w:rPr>
          <w:b/>
          <w:color w:val="C0504D"/>
        </w:rPr>
        <w:t>No data, code, loader, or production state was changed.</w:t>
      </w:r>
    </w:p>
    <w:p>
      <w:pPr>
        <w:pStyle w:val="Heading1"/>
      </w:pPr>
      <w:r>
        <w:t>Executive recommendation</w:t>
      </w:r>
    </w:p>
    <w:p>
      <w:r>
        <w:rPr>
          <w:b/>
        </w:rPr>
        <w:t xml:space="preserve">Choose Option B: </w:t>
      </w:r>
      <w:r>
        <w:t>accumulate effective-dated history from successive authoritative prayag-price.com generations while preserving every existing mrp_history row.</w:t>
      </w:r>
    </w:p>
    <w:p>
      <w:pPr>
        <w:pStyle w:val="ListBullet"/>
      </w:pPr>
      <w:r>
        <w:t>Do not use the workbook as the current or future history authority.</w:t>
      </w:r>
    </w:p>
    <w:p>
      <w:pPr>
        <w:pStyle w:val="ListBullet"/>
      </w:pPr>
      <w:r>
        <w:t>Use price_in_force_since as the effective date; generation fetch timestamps are not valid substitutes.</w:t>
      </w:r>
    </w:p>
    <w:p>
      <w:pPr>
        <w:pStyle w:val="ListBullet"/>
      </w:pPr>
      <w:r>
        <w:t>Preserve legacy history because retained authority snapshots only begin on 20 August 2026.</w:t>
      </w:r>
    </w:p>
    <w:p>
      <w:pPr>
        <w:pStyle w:val="ListBullet"/>
      </w:pPr>
      <w:r>
        <w:t>Continue taking current MRP from the active authority generation.</w:t>
      </w:r>
    </w:p>
    <w:p>
      <w:pPr>
        <w:pStyle w:val="Heading1"/>
      </w:pPr>
      <w:r>
        <w:t>1. Exact history required by price shrinkers</w:t>
      </w:r>
    </w:p>
    <w:p>
      <w:pPr>
        <w:pStyle w:val="Heading2"/>
      </w:pPr>
      <w:r>
        <w:t>Business question and formula</w:t>
      </w:r>
    </w:p>
    <w:p>
      <w:r>
        <w:t>Price shrinkers identify territory SKU codes where quantity grew but real value declined because the MRP increase outpaced nominal value growth.</w:t>
      </w:r>
    </w:p>
    <w:p>
      <w:pPr>
        <w:jc w:val="center"/>
      </w:pPr>
      <w:r>
        <w:rPr>
          <w:b/>
          <w:color w:val="2E5496"/>
          <w:sz w:val="26"/>
        </w:rPr>
        <w:t>Real growth = value growth − MRP increase</w:t>
      </w:r>
    </w:p>
    <w:p>
      <w:r>
        <w:t>A row qualifies when quantity growth is positive and real growth is negative.</w:t>
      </w:r>
    </w:p>
    <w:p>
      <w:pPr>
        <w:pStyle w:val="Heading2"/>
      </w:pPr>
      <w:r>
        <w:t>Inputs and date semantics</w:t>
      </w:r>
    </w:p>
    <w:p>
      <w:pPr>
        <w:pStyle w:val="ListBullet"/>
      </w:pPr>
      <w:r>
        <w:t>Sales inputs: FY, month, product code, segment, quantity, amount, and territory/head/customer scope from sale_line_current.</w:t>
      </w:r>
    </w:p>
    <w:p>
      <w:pPr>
        <w:pStyle w:val="ListBullet"/>
      </w:pPr>
      <w:r>
        <w:t>MRP-history inputs: item_code, segment, mrp, effective_from, effective_to, and is_current.</w:t>
      </w:r>
    </w:p>
    <w:p>
      <w:pPr>
        <w:pStyle w:val="ListBullet"/>
      </w:pPr>
      <w:r>
        <w:t>MRP then is resolved at the end of the final selected prior-period month.</w:t>
      </w:r>
    </w:p>
    <w:p>
      <w:pPr>
        <w:pStyle w:val="ListBullet"/>
      </w:pPr>
      <w:r>
        <w:t>The resolver prefers a row whose effective window contains that as-of date, otherwise the latest qualifying effective_from.</w:t>
      </w:r>
    </w:p>
    <w:p>
      <w:pPr>
        <w:pStyle w:val="ListBullet"/>
      </w:pPr>
      <w:r>
        <w:t>MRP now normally comes from the active authority cache; legacy current history is only a fallback.</w:t>
      </w:r>
    </w:p>
    <w:p>
      <w:r>
        <w:rPr>
          <w:b/>
        </w:rPr>
        <w:t xml:space="preserve">Conclusion: </w:t>
      </w:r>
      <w:r>
        <w:t>The calculation needs trustworthy point-in-time historical prices, not merely the price immediately before current. It requires actual transitions, not repeated unchanged snapshots.</w:t>
      </w:r>
    </w:p>
    <w:p>
      <w:pPr>
        <w:pStyle w:val="Heading1"/>
      </w:pPr>
      <w:r>
        <w:t>2. Authority generation retention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5083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Production result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Retained generations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55</w:t>
            </w:r>
          </w:p>
        </w:tc>
      </w:tr>
      <w:tr>
        <w:tc>
          <w:tcPr>
            <w:tcW w:type="dxa" w:w="5083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Distinct snapshot checksums</w:t>
            </w:r>
          </w:p>
        </w:tc>
        <w:tc>
          <w:tcPr>
            <w:tcW w:type="dxa" w:w="5083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Retention range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20 August 2026 – 7 September 2026</w:t>
            </w:r>
          </w:p>
        </w:tc>
      </w:tr>
      <w:tr>
        <w:tc>
          <w:tcPr>
            <w:tcW w:type="dxa" w:w="5083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Rows retained</w:t>
            </w:r>
          </w:p>
        </w:tc>
        <w:tc>
          <w:tcPr>
            <w:tcW w:type="dxa" w:w="5083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337,063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Distinct codes observed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6,274</w:t>
            </w:r>
          </w:p>
        </w:tc>
      </w:tr>
      <w:tr>
        <w:tc>
          <w:tcPr>
            <w:tcW w:type="dxa" w:w="5083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Active generations</w:t>
            </w:r>
          </w:p>
        </w:tc>
        <w:tc>
          <w:tcPr>
            <w:tcW w:type="dxa" w:w="5083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Rows with null effective date / MRP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36</w:t>
            </w:r>
          </w:p>
        </w:tc>
      </w:tr>
    </w:tbl>
    <w:p/>
    <w:p>
      <w:pPr>
        <w:pStyle w:val="Heading2"/>
      </w:pPr>
      <w:r>
        <w:t>Distinct authority states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First observed</w:t>
            </w:r>
          </w:p>
        </w:tc>
        <w:tc>
          <w:tcPr>
            <w:tcW w:type="dxa" w:w="2541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Last observed</w:t>
            </w:r>
          </w:p>
        </w:tc>
        <w:tc>
          <w:tcPr>
            <w:tcW w:type="dxa" w:w="2541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Rows</w:t>
            </w:r>
          </w:p>
        </w:tc>
        <w:tc>
          <w:tcPr>
            <w:tcW w:type="dxa" w:w="2541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Generations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20 Aug 2026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27 Aug 2026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6,223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2541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28 Aug 2026</w:t>
            </w:r>
          </w:p>
        </w:tc>
        <w:tc>
          <w:tcPr>
            <w:tcW w:type="dxa" w:w="2541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30 Aug 2026</w:t>
            </w:r>
          </w:p>
        </w:tc>
        <w:tc>
          <w:tcPr>
            <w:tcW w:type="dxa" w:w="2541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6,223</w:t>
            </w:r>
          </w:p>
        </w:tc>
        <w:tc>
          <w:tcPr>
            <w:tcW w:type="dxa" w:w="2541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31 Aug 2026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31 Aug 2026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6,097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2541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1 Sep 2026</w:t>
            </w:r>
          </w:p>
        </w:tc>
        <w:tc>
          <w:tcPr>
            <w:tcW w:type="dxa" w:w="2541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7 Sep 2026</w:t>
            </w:r>
          </w:p>
        </w:tc>
        <w:tc>
          <w:tcPr>
            <w:tcW w:type="dxa" w:w="2541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6,079</w:t>
            </w:r>
          </w:p>
        </w:tc>
        <w:tc>
          <w:tcPr>
            <w:tcW w:type="dxa" w:w="2541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32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7 Sep 2026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7 Sep 2026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6,109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</w:tbl>
    <w:p/>
    <w:p>
      <w:pPr>
        <w:pStyle w:val="Heading2"/>
      </w:pPr>
      <w:r>
        <w:t>Latest transition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5083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Codes added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30</w:t>
            </w:r>
          </w:p>
        </w:tc>
      </w:tr>
      <w:tr>
        <w:tc>
          <w:tcPr>
            <w:tcW w:type="dxa" w:w="5083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Codes removed</w:t>
            </w:r>
          </w:p>
        </w:tc>
        <w:tc>
          <w:tcPr>
            <w:tcW w:type="dxa" w:w="5083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Price changes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395</w:t>
            </w:r>
          </w:p>
        </w:tc>
      </w:tr>
      <w:tr>
        <w:tc>
          <w:tcPr>
            <w:tcW w:type="dxa" w:w="5083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Effective-date changes</w:t>
            </w:r>
          </w:p>
        </w:tc>
        <w:tc>
          <w:tcPr>
            <w:tcW w:type="dxa" w:w="5083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465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Price and/or date changes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468</w:t>
            </w:r>
          </w:p>
        </w:tc>
      </w:tr>
    </w:tbl>
    <w:p/>
    <w:p>
      <w:r>
        <w:t>The retained generations are sufficient to accumulate future history without a workbook. Only distinct changes should create history events. Repeated unchanged refreshes must not create duplicate history.</w:t>
      </w:r>
    </w:p>
    <w:p>
      <w:r>
        <w:rPr>
          <w:b/>
        </w:rPr>
        <w:t xml:space="preserve">Critical condition: </w:t>
      </w:r>
      <w:r>
        <w:t>price_in_force_since must be accepted as the source effective date. Generation creation or fetch time must never be substituted.</w:t>
      </w:r>
    </w:p>
    <w:p>
      <w:pPr>
        <w:pStyle w:val="Heading1"/>
      </w:pPr>
      <w:r>
        <w:t>3. Legacy periods and active readers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033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Rows</w:t>
            </w:r>
          </w:p>
        </w:tc>
        <w:tc>
          <w:tcPr>
            <w:tcW w:type="dxa" w:w="2033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Codes</w:t>
            </w:r>
          </w:p>
        </w:tc>
        <w:tc>
          <w:tcPr>
            <w:tcW w:type="dxa" w:w="2033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Current/open rows</w:t>
            </w:r>
          </w:p>
        </w:tc>
        <w:tc>
          <w:tcPr>
            <w:tcW w:type="dxa" w:w="2033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1970-01-01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2,174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2,129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Synthetic unknown prior date</w:t>
            </w:r>
          </w:p>
        </w:tc>
      </w:tr>
      <w:tr>
        <w:tc>
          <w:tcPr>
            <w:tcW w:type="dxa" w:w="2033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2017-12-01</w:t>
            </w:r>
          </w:p>
        </w:tc>
        <w:tc>
          <w:tcPr>
            <w:tcW w:type="dxa" w:w="2033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2033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2033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033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FERN prior price date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2022-01-01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102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102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QUAA prior price date</w:t>
            </w:r>
          </w:p>
        </w:tc>
      </w:tr>
      <w:tr>
        <w:tc>
          <w:tcPr>
            <w:tcW w:type="dxa" w:w="2033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2024-06-01</w:t>
            </w:r>
          </w:p>
        </w:tc>
        <w:tc>
          <w:tcPr>
            <w:tcW w:type="dxa" w:w="2033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033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033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033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Hardware prior price date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2026-03-01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280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280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280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Current legacy Hardware price</w:t>
            </w:r>
          </w:p>
        </w:tc>
      </w:tr>
      <w:tr>
        <w:tc>
          <w:tcPr>
            <w:tcW w:type="dxa" w:w="2033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2026-03-05</w:t>
            </w:r>
          </w:p>
        </w:tc>
        <w:tc>
          <w:tcPr>
            <w:tcW w:type="dxa" w:w="2033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1,830</w:t>
            </w:r>
          </w:p>
        </w:tc>
        <w:tc>
          <w:tcPr>
            <w:tcW w:type="dxa" w:w="2033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1,830</w:t>
            </w:r>
          </w:p>
        </w:tc>
        <w:tc>
          <w:tcPr>
            <w:tcW w:type="dxa" w:w="2033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1,830</w:t>
            </w:r>
          </w:p>
        </w:tc>
        <w:tc>
          <w:tcPr>
            <w:tcW w:type="dxa" w:w="2033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Current legacy PTMT price</w:t>
            </w:r>
          </w:p>
        </w:tc>
      </w:tr>
    </w:tbl>
    <w:p/>
    <w:p>
      <w:pPr>
        <w:pStyle w:val="Heading2"/>
      </w:pPr>
      <w:r>
        <w:t>Meaning of the 1970 block</w:t>
      </w:r>
    </w:p>
    <w:p>
      <w:r>
        <w:t>The 1970 rows are not genuine 1970 price lists. They are placeholders created when old MRP values existed but their true start dates were unavailable. Their meaning is: “this price predates the known replacement price; exact start date unknown.”</w:t>
      </w:r>
    </w:p>
    <w:p>
      <w:pPr>
        <w:pStyle w:val="ListBullet"/>
      </w:pPr>
      <w:r>
        <w:t>All 2,174 rows are closed historical rows, not current prices.</w:t>
      </w:r>
    </w:p>
    <w:p>
      <w:pPr>
        <w:pStyle w:val="ListBullet"/>
      </w:pPr>
      <w:r>
        <w:t>They may still be selected by historical price shrinkers and K4 as-of queries.</w:t>
      </w:r>
    </w:p>
    <w:p>
      <w:pPr>
        <w:pStyle w:val="ListBullet"/>
      </w:pPr>
      <w:r>
        <w:t>Deleting them would remove the only available prior-price evidence for some codes.</w:t>
      </w:r>
    </w:p>
    <w:p>
      <w:pPr>
        <w:pStyle w:val="ListBullet"/>
      </w:pPr>
      <w:r>
        <w:t>Future presentation should label these dates as unknown/before replacement rather than literal 1970 pricing.</w:t>
      </w:r>
    </w:p>
    <w:p>
      <w:pPr>
        <w:pStyle w:val="Heading1"/>
      </w:pPr>
      <w:r>
        <w:t>4. Authority versus workbook differences</w:t>
      </w:r>
    </w:p>
    <w:p>
      <w:pPr>
        <w:pStyle w:val="Heading2"/>
      </w:pPr>
      <w:r>
        <w:t>September-effective population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5083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Authority September rows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2,435</w:t>
            </w:r>
          </w:p>
        </w:tc>
      </w:tr>
      <w:tr>
        <w:tc>
          <w:tcPr>
            <w:tcW w:type="dxa" w:w="5083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Workbook September rows</w:t>
            </w:r>
          </w:p>
        </w:tc>
        <w:tc>
          <w:tcPr>
            <w:tcW w:type="dxa" w:w="5083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2,409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Authority-only September keys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27</w:t>
            </w:r>
          </w:p>
        </w:tc>
      </w:tr>
      <w:tr>
        <w:tc>
          <w:tcPr>
            <w:tcW w:type="dxa" w:w="5083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Workbook-only September keys</w:t>
            </w:r>
          </w:p>
        </w:tc>
        <w:tc>
          <w:tcPr>
            <w:tcW w:type="dxa" w:w="5083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Net difference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26</w:t>
            </w:r>
          </w:p>
        </w:tc>
      </w:tr>
    </w:tbl>
    <w:p/>
    <w:p>
      <w:r>
        <w:t>The 27 authority-only September keys consist of CNS-15, CNS-20, EP-GANESHA, and the 24 PEA-1 through PEA-6 variants ending A, L, P, or S.</w:t>
      </w:r>
    </w:p>
    <w:p>
      <w:pPr>
        <w:pStyle w:val="ListBullet"/>
      </w:pPr>
      <w:r>
        <w:t>CNS-15 and CNS-20: workbook 1 August 2026; authority 1 September 2026.</w:t>
      </w:r>
    </w:p>
    <w:p>
      <w:pPr>
        <w:pStyle w:val="ListBullet"/>
      </w:pPr>
      <w:r>
        <w:t>Twenty-four PEA variants: workbook 10 August 2026; authority 1 September 2026.</w:t>
      </w:r>
    </w:p>
    <w:p>
      <w:pPr>
        <w:pStyle w:val="ListBullet"/>
      </w:pPr>
      <w:r>
        <w:t>Workbook EP-Ganesha and authority EP-GANESHA are the same apparent product under different casing.</w:t>
      </w:r>
    </w:p>
    <w:p>
      <w:r>
        <w:t>Loading the workbook as authority would therefore move 26 existing products’ effective dates backwards relative to the current authority.</w:t>
      </w:r>
    </w:p>
    <w:p>
      <w:pPr>
        <w:pStyle w:val="Heading2"/>
      </w:pPr>
      <w:r>
        <w:t>Overall row difference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5083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Authority rows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6,109</w:t>
            </w:r>
          </w:p>
        </w:tc>
      </w:tr>
      <w:tr>
        <w:tc>
          <w:tcPr>
            <w:tcW w:type="dxa" w:w="5083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Workbook rows</w:t>
            </w:r>
          </w:p>
        </w:tc>
        <w:tc>
          <w:tcPr>
            <w:tcW w:type="dxa" w:w="5083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6,106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Authority-only keys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5083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Workbook-only key</w:t>
            </w:r>
          </w:p>
        </w:tc>
        <w:tc>
          <w:tcPr>
            <w:tcW w:type="dxa" w:w="5083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Net difference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</w:tbl>
    <w:p/>
    <w:p>
      <w:r>
        <w:t>Authority-only keys are 20, 25, 32, and EP-GANESHA; the workbook-only key is EP-Ganesha. The case variant offsets one row, leaving three genuine additional authority rows.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2541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MRP</w:t>
            </w:r>
          </w:p>
        </w:tc>
        <w:tc>
          <w:tcPr>
            <w:tcW w:type="dxa" w:w="2541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541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Provenance status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₹184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1 Feb 2026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Incomplete</w:t>
            </w:r>
          </w:p>
        </w:tc>
      </w:tr>
      <w:tr>
        <w:tc>
          <w:tcPr>
            <w:tcW w:type="dxa" w:w="2541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541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₹216</w:t>
            </w:r>
          </w:p>
        </w:tc>
        <w:tc>
          <w:tcPr>
            <w:tcW w:type="dxa" w:w="2541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1 Feb 2026</w:t>
            </w:r>
          </w:p>
        </w:tc>
        <w:tc>
          <w:tcPr>
            <w:tcW w:type="dxa" w:w="2541"/>
            <w:vAlign w:val="center"/>
            <w:shd w:fill="EAF0F6"/>
          </w:tcPr>
          <w:p>
            <w:r/>
            <w:r>
              <w:rPr>
                <w:b w:val="0"/>
                <w:sz w:val="18"/>
              </w:rPr>
              <w:t>Incomplete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₹326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1 Feb 2026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Incomplete</w:t>
            </w:r>
          </w:p>
        </w:tc>
      </w:tr>
    </w:tbl>
    <w:p/>
    <w:p>
      <w:pPr>
        <w:pStyle w:val="Heading1"/>
      </w:pPr>
      <w:r>
        <w:t>5. Options, effort, and risk</w:t>
      </w:r>
    </w:p>
    <w:p>
      <w:pPr>
        <w:pStyle w:val="Heading2"/>
      </w:pPr>
      <w:r>
        <w:t>Option A — additive workbook history loader</w:t>
      </w:r>
    </w:p>
    <w:p>
      <w:r>
        <w:t>Estimated effort: 3–6 engineering days • Complexity: medium-high • Data risk: medium-high</w:t>
      </w:r>
    </w:p>
    <w:p>
      <w:pPr>
        <w:pStyle w:val="ListBullet"/>
      </w:pPr>
      <w:r>
        <w:t>Requires a new non-destructive, idempotent loader.</w:t>
      </w:r>
    </w:p>
    <w:p>
      <w:pPr>
        <w:pStyle w:val="ListBullet"/>
      </w:pPr>
      <w:r>
        <w:t>Must reconcile casing, date regressions, synthetic dates, and source provenance.</w:t>
      </w:r>
    </w:p>
    <w:p>
      <w:pPr>
        <w:pStyle w:val="ListBullet"/>
      </w:pPr>
      <w:r>
        <w:t>The workbook is already behind the confirmed authority.</w:t>
      </w:r>
    </w:p>
    <w:p>
      <w:pPr>
        <w:pStyle w:val="ListBullet"/>
      </w:pPr>
      <w:r>
        <w:t>Still depends on future human workbook delivery.</w:t>
      </w:r>
    </w:p>
    <w:p>
      <w:r>
        <w:rPr>
          <w:b/>
        </w:rPr>
        <w:t xml:space="preserve">Assessment: </w:t>
      </w:r>
      <w:r>
        <w:t>Not recommended as the primary history source.</w:t>
      </w:r>
    </w:p>
    <w:p>
      <w:pPr>
        <w:pStyle w:val="Heading2"/>
      </w:pPr>
      <w:r>
        <w:t>Option B — append authoritative changes</w:t>
      </w:r>
    </w:p>
    <w:p>
      <w:r>
        <w:t>Estimated effort: 4–8 engineering days • Initial complexity: medium-high • Ongoing cost: low • Data risk: low-medium when source dates are enforced</w:t>
      </w:r>
    </w:p>
    <w:p>
      <w:pPr>
        <w:pStyle w:val="ListBullet"/>
      </w:pPr>
      <w:r>
        <w:t>Compare each activated distinct generation with its predecessor.</w:t>
      </w:r>
    </w:p>
    <w:p>
      <w:pPr>
        <w:pStyle w:val="ListBullet"/>
      </w:pPr>
      <w:r>
        <w:t>Append only MRP or effective-date changes.</w:t>
      </w:r>
    </w:p>
    <w:p>
      <w:pPr>
        <w:pStyle w:val="ListBullet"/>
      </w:pPr>
      <w:r>
        <w:t>Preserve source generation, checksum, provenance status, and source effective date.</w:t>
      </w:r>
    </w:p>
    <w:p>
      <w:pPr>
        <w:pStyle w:val="ListBullet"/>
      </w:pPr>
      <w:r>
        <w:t>Keep legacy history untouched for dates before authority retention began.</w:t>
      </w:r>
    </w:p>
    <w:p>
      <w:pPr>
        <w:pStyle w:val="ListBullet"/>
      </w:pPr>
      <w:r>
        <w:t>Reject date regressions unless they receive explicit review.</w:t>
      </w:r>
    </w:p>
    <w:p>
      <w:r>
        <w:rPr>
          <w:b/>
        </w:rPr>
        <w:t xml:space="preserve">Assessment: </w:t>
      </w:r>
      <w:r>
        <w:t>Recommended.</w:t>
      </w:r>
    </w:p>
    <w:p>
      <w:pPr>
        <w:pStyle w:val="Heading2"/>
      </w:pPr>
      <w:r>
        <w:t>Option C — query retained snapshots directly</w:t>
      </w:r>
    </w:p>
    <w:p>
      <w:r>
        <w:t>Estimated effort: 1–2 days for recent-only analysis; 4–7 days for safe general historical behavior • Temporal risk: high</w:t>
      </w:r>
    </w:p>
    <w:p>
      <w:pPr>
        <w:pStyle w:val="ListBullet"/>
      </w:pPr>
      <w:r>
        <w:t>Snapshots begin only on 20 August 2026 and cannot answer prior-FY as-of dates.</w:t>
      </w:r>
    </w:p>
    <w:p>
      <w:pPr>
        <w:pStyle w:val="ListBullet"/>
      </w:pPr>
      <w:r>
        <w:t>Repeated generations are observations, not business price transitions.</w:t>
      </w:r>
    </w:p>
    <w:p>
      <w:pPr>
        <w:pStyle w:val="ListBullet"/>
      </w:pPr>
      <w:r>
        <w:t>Generation timestamps must not be interpreted as effective dates.</w:t>
      </w:r>
    </w:p>
    <w:p>
      <w:pPr>
        <w:pStyle w:val="ListBullet"/>
      </w:pPr>
      <w:r>
        <w:t>A safe snapshot view would require most of the normalization and history logic from Option B.</w:t>
      </w:r>
    </w:p>
    <w:p>
      <w:r>
        <w:rPr>
          <w:b/>
        </w:rPr>
        <w:t xml:space="preserve">Assessment: </w:t>
      </w:r>
      <w:r>
        <w:t>Suitable only as a future read model built over Option B, not as a standalone replacement.</w:t>
      </w:r>
    </w:p>
    <w:p>
      <w:pPr>
        <w:pStyle w:val="Heading1"/>
      </w:pPr>
      <w:r>
        <w:t>6. Final implementation direction</w:t>
      </w:r>
    </w:p>
    <w:p>
      <w:pPr>
        <w:pStyle w:val="ListNumber"/>
      </w:pPr>
      <w:r>
        <w:t>Preserve legacy mrp_history exactly as it is.</w:t>
      </w:r>
    </w:p>
    <w:p>
      <w:pPr>
        <w:pStyle w:val="ListNumber"/>
      </w:pPr>
      <w:r>
        <w:t>Do not seed authority-origin history before the earliest retained authority evidence.</w:t>
      </w:r>
    </w:p>
    <w:p>
      <w:pPr>
        <w:pStyle w:val="ListNumber"/>
      </w:pPr>
      <w:r>
        <w:t>Compare successive distinct authority snapshots.</w:t>
      </w:r>
    </w:p>
    <w:p>
      <w:pPr>
        <w:pStyle w:val="ListNumber"/>
      </w:pPr>
      <w:r>
        <w:t>Append only genuine MRP or effective-date changes.</w:t>
      </w:r>
    </w:p>
    <w:p>
      <w:pPr>
        <w:pStyle w:val="ListNumber"/>
      </w:pPr>
      <w:r>
        <w:t>Use price_in_force_since as the effective date.</w:t>
      </w:r>
    </w:p>
    <w:p>
      <w:pPr>
        <w:pStyle w:val="ListNumber"/>
      </w:pPr>
      <w:r>
        <w:t>Retain generation ID, checksum, source status, and provenance completeness.</w:t>
      </w:r>
    </w:p>
    <w:p>
      <w:pPr>
        <w:pStyle w:val="ListNumber"/>
      </w:pPr>
      <w:r>
        <w:t>Reject overlapping windows and unreviewed effective-date regressions.</w:t>
      </w:r>
    </w:p>
    <w:p>
      <w:pPr>
        <w:pStyle w:val="ListNumber"/>
      </w:pPr>
      <w:r>
        <w:t>Resolve historical MRP from authority history where trustworthy, otherwise from preserved legacy history.</w:t>
      </w:r>
    </w:p>
    <w:p>
      <w:pPr>
        <w:pStyle w:val="ListNumber"/>
      </w:pPr>
      <w:r>
        <w:t>Continue resolving current MRP from the active authority generation.</w:t>
      </w:r>
    </w:p>
    <w:p>
      <w:r>
        <w:rPr>
          <w:b/>
          <w:color w:val="17365D"/>
        </w:rPr>
        <w:t xml:space="preserve">Final decision: </w:t>
      </w:r>
      <w:r>
        <w:t>Do not load the workbook. Use it as reconciliation evidence only. Option B is the defensible route for future authoritative MRP history, with the strict condition that source effective dates—not generation timestamps—drive historical validity.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57575"/>
        <w:sz w:val="16"/>
      </w:rPr>
      <w:t>Prayag Sales Intelligence • Read-only MRP history assessment • 8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