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61 — August Drift and D8 Sequence</w:t>
      </w:r>
    </w:p>
    <w:p>
      <w:r/>
      <w:r>
        <w:rPr>
          <w:b/>
        </w:rPr>
        <w:t>Report date:</w:t>
      </w:r>
      <w:r>
        <w:t xml:space="preserve"> 7 September 2026  </w:t>
      </w:r>
    </w:p>
    <w:p>
      <w:r/>
      <w:r>
        <w:rPr>
          <w:b/>
        </w:rPr>
        <w:t>Scope:</w:t>
      </w:r>
      <w:r>
        <w:t xml:space="preserve"> Section A read-only investigation; Section B pre-build status; Section C sequence review  </w:t>
      </w:r>
    </w:p>
    <w:p>
      <w:r/>
      <w:r>
        <w:rPr>
          <w:b/>
        </w:rPr>
        <w:t>Standing rule:</w:t>
      </w:r>
      <w:r>
        <w:t xml:space="preserve"> Every figure identifies its database or source.</w:t>
      </w:r>
    </w:p>
    <w:p>
      <w:pPr>
        <w:pStyle w:val="Heading1"/>
      </w:pPr>
      <w:r>
        <w:t>Executive Summary</w:t>
      </w:r>
    </w:p>
    <w:p>
      <w:r>
        <w:t>All investigation work was read-only. No detector was run, no drift was approved, no source state was adopted, and no code or production data was changed.</w:t>
      </w:r>
    </w:p>
    <w:p>
      <w:r>
        <w:t>Two important findings alter the expected August path:</w:t>
      </w:r>
    </w:p>
    <w:p>
      <w:pPr>
        <w:pStyle w:val="ListNumber"/>
      </w:pPr>
      <w:r>
        <w:t>The exact 492 rows added since the 2 September load cannot be reconstructed from current production tables because only the 12,379-row count was retained—not the row-level snapshot.</w:t>
      </w:r>
    </w:p>
    <w:p>
      <w:pPr>
        <w:pStyle w:val="ListNumber"/>
      </w:pPr>
      <w:r>
        <w:t>Aug-26 is calendar-frozen but is not persisted as frozen or anchored. Therefore, the controlled frozen-drift detector would not currently consider August eligible.</w:t>
      </w:r>
    </w:p>
    <w:p>
      <w:pPr>
        <w:pStyle w:val="Title"/>
        <w:jc w:val="center"/>
      </w:pPr>
      <w:r>
        <w:t>Section A — August Investigation</w:t>
      </w:r>
    </w:p>
    <w:p>
      <w:pPr>
        <w:pStyle w:val="Heading1"/>
      </w:pPr>
      <w:r>
        <w:t>A1. The 492 Rows Gained Since 2 September</w:t>
      </w:r>
    </w:p>
    <w:p>
      <w:pPr>
        <w:pStyle w:val="Heading2"/>
      </w:pPr>
      <w:r>
        <w:t>Durable production evidence</w:t>
      </w:r>
    </w:p>
    <w:p>
      <w:r>
        <w:t>Production ingest-run records preserve these source row counts: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Run date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Source rows recorded by production</w:t>
            </w:r>
          </w:p>
        </w:tc>
      </w:tr>
      <w:tr>
        <w:tc>
          <w:tcPr>
            <w:tcW w:type="dxa" w:w="5184"/>
          </w:tcPr>
          <w:p>
            <w:r>
              <w:t>2 Sep 2026, 09:38 UTC</w:t>
            </w:r>
          </w:p>
        </w:tc>
        <w:tc>
          <w:tcPr>
            <w:tcW w:type="dxa" w:w="5184"/>
          </w:tcPr>
          <w:p>
            <w:r>
              <w:t>12,379</w:t>
            </w:r>
          </w:p>
        </w:tc>
      </w:tr>
      <w:tr>
        <w:tc>
          <w:tcPr>
            <w:tcW w:type="dxa" w:w="5184"/>
          </w:tcPr>
          <w:p>
            <w:r>
              <w:t>Later on 2 Sep 2026</w:t>
            </w:r>
          </w:p>
        </w:tc>
        <w:tc>
          <w:tcPr>
            <w:tcW w:type="dxa" w:w="5184"/>
          </w:tcPr>
          <w:p>
            <w:r>
              <w:t>12,877</w:t>
            </w:r>
          </w:p>
        </w:tc>
      </w:tr>
      <w:tr>
        <w:tc>
          <w:tcPr>
            <w:tcW w:type="dxa" w:w="5184"/>
          </w:tcPr>
          <w:p>
            <w:r>
              <w:t>3 Sep 2026</w:t>
            </w:r>
          </w:p>
        </w:tc>
        <w:tc>
          <w:tcPr>
            <w:tcW w:type="dxa" w:w="5184"/>
          </w:tcPr>
          <w:p>
            <w:r>
              <w:t>12,880</w:t>
            </w:r>
          </w:p>
        </w:tc>
      </w:tr>
      <w:tr>
        <w:tc>
          <w:tcPr>
            <w:tcW w:type="dxa" w:w="5184"/>
          </w:tcPr>
          <w:p>
            <w:r>
              <w:t>5 Sep 2026</w:t>
            </w:r>
          </w:p>
        </w:tc>
        <w:tc>
          <w:tcPr>
            <w:tcW w:type="dxa" w:w="5184"/>
          </w:tcPr>
          <w:p>
            <w:r>
              <w:t>12,887</w:t>
            </w:r>
          </w:p>
        </w:tc>
      </w:tr>
    </w:tbl>
    <w:p>
      <w:r>
        <w:t>Fresh Google Sheet source on 7 September:</w:t>
      </w:r>
    </w:p>
    <w:p>
      <w:pPr>
        <w:pStyle w:val="ListBullet"/>
      </w:pPr>
      <w:r/>
      <w:r>
        <w:rPr>
          <w:b/>
        </w:rPr>
        <w:t>Rows:</w:t>
      </w:r>
      <w:r>
        <w:t xml:space="preserve"> 12,871</w:t>
      </w:r>
    </w:p>
    <w:p>
      <w:pPr>
        <w:pStyle w:val="ListBullet"/>
      </w:pPr>
      <w:r/>
      <w:r>
        <w:rPr>
          <w:b/>
        </w:rPr>
        <w:t>Value:</w:t>
      </w:r>
      <w:r>
        <w:t xml:space="preserve"> ₹30,42,00,894.69</w:t>
      </w:r>
    </w:p>
    <w:p>
      <w:pPr>
        <w:pStyle w:val="ListBullet"/>
      </w:pPr>
      <w:r/>
      <w:r>
        <w:rPr>
          <w:b/>
        </w:rPr>
        <w:t>Source:</w:t>
      </w:r>
      <w:r>
        <w:t xml:space="preserve"> FY2026–27 Google Sheets SALE register, Aug tab</w:t>
      </w:r>
    </w:p>
    <w:p>
      <w:r>
        <w:t>The 2 September run retained only the count. Its 12,379 source rows and source fingerprint were not preserved. Later monthly replacement deleted that physical version.</w:t>
      </w:r>
    </w:p>
    <w:p>
      <w:r>
        <w:t>Production also contains:</w:t>
      </w:r>
    </w:p>
    <w:p>
      <w:pPr>
        <w:pStyle w:val="ListBullet"/>
      </w:pPr>
      <w:r>
        <w:t>0 Aug-26 frozen-drift check records</w:t>
      </w:r>
    </w:p>
    <w:p>
      <w:pPr>
        <w:pStyle w:val="ListBullet"/>
      </w:pPr>
      <w:r>
        <w:t>0 Aug-26 frozen-drift archive records</w:t>
      </w:r>
    </w:p>
    <w:p>
      <w:r>
        <w:t>Therefore, an exact, verified 492-row list cannot be reconstructed from current durable production evidence.</w:t>
      </w:r>
    </w:p>
    <w:p>
      <w:pPr>
        <w:pStyle w:val="Heading2"/>
      </w:pPr>
      <w:r>
        <w:t>Unproven serial-number candidate</w:t>
      </w:r>
    </w:p>
    <w:p>
      <w:r>
        <w:t>The current source has contiguous unique serial numbers 1–12,871. If—and only if—the 2 September source was exactly serials 1–12,379, the candidate additions are:</w:t>
      </w:r>
    </w:p>
    <w:p>
      <w:pPr>
        <w:pStyle w:val="ListBullet"/>
      </w:pPr>
      <w:r/>
      <w:r>
        <w:rPr>
          <w:b/>
        </w:rPr>
        <w:t>Serial range:</w:t>
      </w:r>
      <w:r>
        <w:t xml:space="preserve"> 12,380–12,871</w:t>
      </w:r>
    </w:p>
    <w:p>
      <w:pPr>
        <w:pStyle w:val="ListBullet"/>
      </w:pPr>
      <w:r/>
      <w:r>
        <w:rPr>
          <w:b/>
        </w:rPr>
        <w:t>Rows:</w:t>
      </w:r>
      <w:r>
        <w:t xml:space="preserve"> 492</w:t>
      </w:r>
    </w:p>
    <w:p>
      <w:pPr>
        <w:pStyle w:val="ListBullet"/>
      </w:pPr>
      <w:r/>
      <w:r>
        <w:rPr>
          <w:b/>
        </w:rPr>
        <w:t>Value:</w:t>
      </w:r>
      <w:r>
        <w:t xml:space="preserve"> ₹1,04,75,199.43</w:t>
      </w:r>
    </w:p>
    <w:p>
      <w:pPr>
        <w:pStyle w:val="ListBullet"/>
      </w:pPr>
      <w:r/>
      <w:r>
        <w:rPr>
          <w:b/>
        </w:rPr>
        <w:t>Invoice date:</w:t>
      </w:r>
      <w:r>
        <w:t xml:space="preserve"> all 31 August 2026</w:t>
      </w:r>
    </w:p>
    <w:p>
      <w:r>
        <w:t>This is evidence of a likely late-month append, but it is not verified because the old row-level snapshot is unavailable, source rows may have changed or moved, and the old count does not prove which rows comprised that version.</w:t>
      </w:r>
    </w:p>
    <w:p>
      <w:r>
        <w:t>An exact reconstruction requires a database point-in-time backup from immediately after the 2 September 09:38 UTC load, restored to an isolated read-only database and compared against the current normalized source.</w:t>
      </w:r>
    </w:p>
    <w:p>
      <w:pPr>
        <w:pStyle w:val="Heading1"/>
      </w:pPr>
      <w:r>
        <w:t>A2. The 16 Production-Only Rows</w:t>
      </w:r>
    </w:p>
    <w:p>
      <w:r>
        <w:t>Current comparison:</w:t>
      </w:r>
    </w:p>
    <w:p>
      <w:pPr>
        <w:pStyle w:val="ListBullet"/>
      </w:pPr>
      <w:r/>
      <w:r>
        <w:rPr>
          <w:b/>
        </w:rPr>
        <w:t>Fresh Google Sheet Aug tab:</w:t>
      </w:r>
      <w:r>
        <w:t xml:space="preserve"> 12,871 rows and ₹30,42,00,894.69</w:t>
      </w:r>
    </w:p>
    <w:p>
      <w:pPr>
        <w:pStyle w:val="ListBullet"/>
      </w:pPr>
      <w:r/>
      <w:r>
        <w:rPr>
          <w:b/>
        </w:rPr>
        <w:t>Production sale_line:</w:t>
      </w:r>
      <w:r>
        <w:t xml:space="preserve"> 12,887 rows and ₹30,42,98,127.69</w:t>
      </w:r>
    </w:p>
    <w:p>
      <w:pPr>
        <w:pStyle w:val="ListBullet"/>
      </w:pPr>
      <w:r/>
      <w:r>
        <w:rPr>
          <w:b/>
        </w:rPr>
        <w:t>Production ahead:</w:t>
      </w:r>
      <w:r>
        <w:t xml:space="preserve"> 16 rows and ₹97,233.00</w:t>
      </w:r>
    </w:p>
    <w:p>
      <w:r>
        <w:t>All 16 production-only rows are dated 31 August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Displayed amount</w:t>
            </w:r>
          </w:p>
        </w:tc>
      </w:tr>
      <w:tr>
        <w:tc>
          <w:tcPr>
            <w:tcW w:type="dxa" w:w="1728"/>
          </w:tcPr>
          <w:p>
            <w:r>
              <w:t>32600436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SALASAR BALA JI ENTERPRISES (BIJNOR)</w:t>
            </w:r>
          </w:p>
        </w:tc>
        <w:tc>
          <w:tcPr>
            <w:tcW w:type="dxa" w:w="1728"/>
          </w:tcPr>
          <w:p>
            <w:r>
              <w:t>WCT-3LL-07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₹12,645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U863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₹496</w:t>
            </w:r>
          </w:p>
        </w:tc>
      </w:tr>
      <w:tr>
        <w:tc>
          <w:tcPr>
            <w:tcW w:type="dxa" w:w="1728"/>
          </w:tcPr>
          <w:p>
            <w:r>
              <w:t>32600436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SALASAR BALA JI ENTERPRISES (BIJNOR)</w:t>
            </w:r>
          </w:p>
        </w:tc>
        <w:tc>
          <w:tcPr>
            <w:tcW w:type="dxa" w:w="1728"/>
          </w:tcPr>
          <w:p>
            <w:r>
              <w:t>WCT-3LL-10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₹21,072</w:t>
            </w:r>
          </w:p>
        </w:tc>
      </w:tr>
      <w:tr>
        <w:tc>
          <w:tcPr>
            <w:tcW w:type="dxa" w:w="1728"/>
          </w:tcPr>
          <w:p>
            <w:r>
              <w:t>32600435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WT-3LL-10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₹2,176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U92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₹37</w:t>
            </w:r>
          </w:p>
        </w:tc>
      </w:tr>
      <w:tr>
        <w:tc>
          <w:tcPr>
            <w:tcW w:type="dxa" w:w="1728"/>
          </w:tcPr>
          <w:p>
            <w:r>
              <w:t>32600435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WT-3LL-20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₹17,401</w:t>
            </w:r>
          </w:p>
        </w:tc>
      </w:tr>
      <w:tr>
        <w:tc>
          <w:tcPr>
            <w:tcW w:type="dxa" w:w="1728"/>
          </w:tcPr>
          <w:p>
            <w:r>
              <w:t>32600436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SALASAR BALA JI ENTERPRISES (BIJNOR)</w:t>
            </w:r>
          </w:p>
        </w:tc>
        <w:tc>
          <w:tcPr>
            <w:tcW w:type="dxa" w:w="1728"/>
          </w:tcPr>
          <w:p>
            <w:r>
              <w:t>WCT-3LL-05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₹21,072</w:t>
            </w:r>
          </w:p>
        </w:tc>
      </w:tr>
      <w:tr>
        <w:tc>
          <w:tcPr>
            <w:tcW w:type="dxa" w:w="1728"/>
          </w:tcPr>
          <w:p>
            <w:r>
              <w:t>22601804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BISHWAKARMA HARDWARE STORE (NEPAL)</w:t>
            </w:r>
          </w:p>
        </w:tc>
        <w:tc>
          <w:tcPr>
            <w:tcW w:type="dxa" w:w="1728"/>
          </w:tcPr>
          <w:p>
            <w:r>
              <w:t>CH72F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₹97,018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C13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₹204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U97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₹65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U46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₹958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U103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₹62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U107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₹55</w:t>
            </w:r>
          </w:p>
        </w:tc>
      </w:tr>
      <w:tr>
        <w:tc>
          <w:tcPr>
            <w:tcW w:type="dxa" w:w="1728"/>
          </w:tcPr>
          <w:p>
            <w:r>
              <w:t>32600436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SALASAR BALA JI ENTERPRISES (BIJNOR)</w:t>
            </w:r>
          </w:p>
        </w:tc>
        <w:tc>
          <w:tcPr>
            <w:tcW w:type="dxa" w:w="1728"/>
          </w:tcPr>
          <w:p>
            <w:r>
              <w:t>WCT-3LL-07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₹12,645</w:t>
            </w:r>
          </w:p>
        </w:tc>
      </w:tr>
      <w:tr>
        <w:tc>
          <w:tcPr>
            <w:tcW w:type="dxa" w:w="1728"/>
          </w:tcPr>
          <w:p>
            <w:r>
              <w:t>32600436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SALASAR BALA JI ENTERPRISES (BIJNOR)</w:t>
            </w:r>
          </w:p>
        </w:tc>
        <w:tc>
          <w:tcPr>
            <w:tcW w:type="dxa" w:w="1728"/>
          </w:tcPr>
          <w:p>
            <w:r>
              <w:t>WCT-3LL-05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₹21,072</w:t>
            </w:r>
          </w:p>
        </w:tc>
      </w:tr>
      <w:tr>
        <w:tc>
          <w:tcPr>
            <w:tcW w:type="dxa" w:w="1728"/>
          </w:tcPr>
          <w:p>
            <w:r>
              <w:t>22601802</w:t>
            </w:r>
          </w:p>
        </w:tc>
        <w:tc>
          <w:tcPr>
            <w:tcW w:type="dxa" w:w="1728"/>
          </w:tcPr>
          <w:p>
            <w:r>
              <w:t>31-Aug-2026</w:t>
            </w:r>
          </w:p>
        </w:tc>
        <w:tc>
          <w:tcPr>
            <w:tcW w:type="dxa" w:w="1728"/>
          </w:tcPr>
          <w:p>
            <w:r>
              <w:t>SHRI MEHNDIPUR BALAJI ENTERPRISES PVTLTD</w:t>
            </w:r>
          </w:p>
        </w:tc>
        <w:tc>
          <w:tcPr>
            <w:tcW w:type="dxa" w:w="1728"/>
          </w:tcPr>
          <w:p>
            <w:r>
              <w:t>PS-3S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₹1,493</w:t>
            </w:r>
          </w:p>
        </w:tc>
      </w:tr>
    </w:tbl>
    <w:p>
      <w:r>
        <w:t>Some extracted row values carry negative signs in their underlying representation that were omitted from the initial display. The authoritative combined production-minus-source aggregate is ₹97,233.00.</w:t>
      </w:r>
    </w:p>
    <w:p>
      <w:pPr>
        <w:pStyle w:val="Heading2"/>
      </w:pPr>
      <w:r>
        <w:t>Shape</w:t>
      </w:r>
    </w:p>
    <w:p>
      <w:r>
        <w:t>All 16 rows are late-month entries:</w:t>
      </w:r>
    </w:p>
    <w:p>
      <w:pPr>
        <w:pStyle w:val="ListBullet"/>
      </w:pPr>
      <w:r/>
      <w:r>
        <w:rPr>
          <w:b/>
        </w:rPr>
        <w:t>16 of 16 dated:</w:t>
      </w:r>
      <w:r>
        <w:t xml:space="preserve"> 31 August 2026</w:t>
      </w:r>
    </w:p>
    <w:p>
      <w:r>
        <w:t>They resemble the June and July gap in being concentrated at month-end rather than spread throughout the month.</w:t>
      </w:r>
    </w:p>
    <w:p>
      <w:pPr>
        <w:pStyle w:val="Heading1"/>
      </w:pPr>
      <w:r>
        <w:t>A3. Controlled Frozen-Drift Process</w:t>
      </w:r>
    </w:p>
    <w:p>
      <w:r>
        <w:t>If August were eligible, the process would be:</w:t>
      </w:r>
    </w:p>
    <w:p>
      <w:pPr>
        <w:pStyle w:val="ListNumber"/>
      </w:pPr>
      <w:r/>
      <w:r>
        <w:rPr>
          <w:b/>
        </w:rPr>
        <w:t>Detection:</w:t>
      </w:r>
      <w:r>
        <w:t xml:space="preserve"> Read the latest three persistently frozen months, fresh-read their sources, compare totals and fingerprints, and insert a frozen-drift check.</w:t>
      </w:r>
    </w:p>
    <w:p>
      <w:pPr>
        <w:pStyle w:val="ListNumber"/>
      </w:pPr>
      <w:r/>
      <w:r>
        <w:rPr>
          <w:b/>
        </w:rPr>
        <w:t>Eligibility:</w:t>
      </w:r>
      <w:r>
        <w:t xml:space="preserve"> Require the current FY, a latest-three persisted frozen month, and an unresolved drift result.</w:t>
      </w:r>
    </w:p>
    <w:p>
      <w:pPr>
        <w:pStyle w:val="ListNumber"/>
      </w:pPr>
      <w:r/>
      <w:r>
        <w:rPr>
          <w:b/>
        </w:rPr>
        <w:t>Preview:</w:t>
      </w:r>
      <w:r>
        <w:t xml:space="preserve"> Reread production and source, calculate invoice additions/removals/changes, and calculate a preview hash.</w:t>
      </w:r>
    </w:p>
    <w:p>
      <w:pPr>
        <w:pStyle w:val="ListNumber"/>
      </w:pPr>
      <w:r/>
      <w:r>
        <w:rPr>
          <w:b/>
        </w:rPr>
        <w:t>Operator and reason:</w:t>
      </w:r>
      <w:r>
        <w:t xml:space="preserve"> Require a nonblank operator and a reason of at least ten characters.</w:t>
      </w:r>
    </w:p>
    <w:p>
      <w:pPr>
        <w:pStyle w:val="ListNumber"/>
      </w:pPr>
      <w:r/>
      <w:r>
        <w:rPr>
          <w:b/>
        </w:rPr>
        <w:t>Transactional revalidation:</w:t>
      </w:r>
      <w:r>
        <w:t xml:space="preserve"> Lock the drift check and month-state row, reread the source, and reject a stale preview hash.</w:t>
      </w:r>
    </w:p>
    <w:p>
      <w:pPr>
        <w:pStyle w:val="ListNumber"/>
      </w:pPr>
      <w:r/>
      <w:r>
        <w:rPr>
          <w:b/>
        </w:rPr>
        <w:t>60% wipe guard:</w:t>
      </w:r>
      <w:r>
        <w:t xml:space="preserve"> Reject if incoming source rows are below 60% of current production rows.</w:t>
      </w:r>
    </w:p>
    <w:p>
      <w:pPr>
        <w:pStyle w:val="ListNumber"/>
      </w:pPr>
      <w:r/>
      <w:r>
        <w:rPr>
          <w:b/>
        </w:rPr>
        <w:t>Before-image archive:</w:t>
      </w:r>
      <w:r>
        <w:t xml:space="preserve"> Archive every physical month row that will be deleted, including historical versions.</w:t>
      </w:r>
    </w:p>
    <w:p>
      <w:pPr>
        <w:pStyle w:val="ListNumber"/>
      </w:pPr>
      <w:r/>
      <w:r>
        <w:rPr>
          <w:b/>
        </w:rPr>
        <w:t>Replacement:</w:t>
      </w:r>
      <w:r>
        <w:t xml:space="preserve"> Delete the production month and insert the current normalized source rows in batches.</w:t>
      </w:r>
    </w:p>
    <w:p>
      <w:pPr>
        <w:pStyle w:val="ListNumber"/>
      </w:pPr>
      <w:r/>
      <w:r>
        <w:rPr>
          <w:b/>
        </w:rPr>
        <w:t>Re-anchoring:</w:t>
      </w:r>
      <w:r>
        <w:t xml:space="preserve"> Update frozen rows, frozen amount, last-good rows, last-good amount, and replacement timestamp.</w:t>
      </w:r>
    </w:p>
    <w:p>
      <w:pPr>
        <w:pStyle w:val="ListNumber"/>
      </w:pPr>
      <w:r/>
      <w:r>
        <w:rPr>
          <w:b/>
        </w:rPr>
        <w:t>Resolution:</w:t>
      </w:r>
      <w:r>
        <w:t xml:space="preserve"> Mark the check refreshed and record the operator, reason, and time.</w:t>
      </w:r>
    </w:p>
    <w:p>
      <w:r>
        <w:t>There is no separate two-person approval primitive. The guarded apply call with the current preview hash, operator, and reason is the approval action.</w:t>
      </w:r>
    </w:p>
    <w:p>
      <w:pPr>
        <w:pStyle w:val="Heading1"/>
      </w:pPr>
      <w:r>
        <w:t>A4. August Eligibility</w:t>
      </w:r>
    </w:p>
    <w:p>
      <w:r>
        <w:t xml:space="preserve">August would </w:t>
      </w:r>
      <w:r>
        <w:rPr>
          <w:b/>
        </w:rPr>
        <w:t>not</w:t>
      </w:r>
      <w:r>
        <w:t xml:space="preserve"> pass the current eligibility implementation.</w:t>
      </w:r>
    </w:p>
    <w:p>
      <w:r>
        <w:t>Calendar freeze instant:</w:t>
      </w:r>
    </w:p>
    <w:p>
      <w:pPr>
        <w:pStyle w:val="ListBullet"/>
      </w:pPr>
      <w:r/>
      <w:r>
        <w:rPr>
          <w:b/>
        </w:rPr>
        <w:t>UTC:</w:t>
      </w:r>
      <w:r>
        <w:t xml:space="preserve"> 7 September 2026, 00:00</w:t>
      </w:r>
    </w:p>
    <w:p>
      <w:pPr>
        <w:pStyle w:val="ListBullet"/>
      </w:pPr>
      <w:r/>
      <w:r>
        <w:rPr>
          <w:b/>
        </w:rPr>
        <w:t>IST:</w:t>
      </w:r>
      <w:r>
        <w:t xml:space="preserve"> 7 September 2026, 05:30</w:t>
      </w:r>
    </w:p>
    <w:p>
      <w:r>
        <w:t>Production register-month state:</w:t>
      </w:r>
    </w:p>
    <w:p>
      <w:pPr>
        <w:pStyle w:val="ListBullet"/>
      </w:pPr>
      <w:r/>
      <w:r>
        <w:rPr>
          <w:b/>
        </w:rPr>
        <w:t>Month:</w:t>
      </w:r>
      <w:r>
        <w:t xml:space="preserve"> Aug-26</w:t>
      </w:r>
    </w:p>
    <w:p>
      <w:pPr>
        <w:pStyle w:val="ListBullet"/>
      </w:pPr>
      <w:r/>
      <w:r>
        <w:rPr>
          <w:b/>
        </w:rPr>
        <w:t>Last-good rows:</w:t>
      </w:r>
      <w:r>
        <w:t xml:space="preserve"> 12,887</w:t>
      </w:r>
    </w:p>
    <w:p>
      <w:pPr>
        <w:pStyle w:val="ListBullet"/>
      </w:pPr>
      <w:r/>
      <w:r>
        <w:rPr>
          <w:b/>
        </w:rPr>
        <w:t>Frozen at:</w:t>
      </w:r>
      <w:r>
        <w:t xml:space="preserve"> NULL</w:t>
      </w:r>
    </w:p>
    <w:p>
      <w:pPr>
        <w:pStyle w:val="ListBullet"/>
      </w:pPr>
      <w:r/>
      <w:r>
        <w:rPr>
          <w:b/>
        </w:rPr>
        <w:t>Frozen rows:</w:t>
      </w:r>
      <w:r>
        <w:t xml:space="preserve"> NULL</w:t>
      </w:r>
    </w:p>
    <w:p>
      <w:r>
        <w:t>The last successful replacement occurred on 5 September. At freeze transition, the source had fallen to 12,871 rows. The strict transition guard rejected the lower read:</w:t>
      </w:r>
    </w:p>
    <w:p>
      <w:pPr>
        <w:pStyle w:val="ListBullet"/>
      </w:pPr>
      <w:r/>
      <w:r>
        <w:rPr>
          <w:b/>
        </w:rPr>
        <w:t>Source:</w:t>
      </w:r>
      <w:r>
        <w:t xml:space="preserve"> 12,871 rows</w:t>
      </w:r>
    </w:p>
    <w:p>
      <w:pPr>
        <w:pStyle w:val="ListBullet"/>
      </w:pPr>
      <w:r/>
      <w:r>
        <w:rPr>
          <w:b/>
        </w:rPr>
        <w:t>Last good:</w:t>
      </w:r>
      <w:r>
        <w:t xml:space="preserve"> 12,887 rows</w:t>
      </w:r>
    </w:p>
    <w:p>
      <w:pPr>
        <w:pStyle w:val="ListBullet"/>
      </w:pPr>
      <w:r/>
      <w:r>
        <w:rPr>
          <w:b/>
        </w:rPr>
        <w:t>Difference:</w:t>
      </w:r>
      <w:r>
        <w:t xml:space="preserve"> −16 rows</w:t>
      </w:r>
    </w:p>
    <w:p>
      <w:r>
        <w:t>This leaves August in the following state: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84"/>
          </w:tcPr>
          <w:p>
            <w:r>
              <w:t>Calendar-frozen</w:t>
            </w:r>
          </w:p>
        </w:tc>
        <w:tc>
          <w:tcPr>
            <w:tcW w:type="dxa" w:w="5184"/>
          </w:tcPr>
          <w:p>
            <w:r>
              <w:t>Yes</w:t>
            </w:r>
          </w:p>
        </w:tc>
      </w:tr>
      <w:tr>
        <w:tc>
          <w:tcPr>
            <w:tcW w:type="dxa" w:w="5184"/>
          </w:tcPr>
          <w:p>
            <w:r>
              <w:t>Persistently anchored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Ordinary replacement</w:t>
            </w:r>
          </w:p>
        </w:tc>
        <w:tc>
          <w:tcPr>
            <w:tcW w:type="dxa" w:w="5184"/>
          </w:tcPr>
          <w:p>
            <w:r>
              <w:t>Blocked by strict freeze shrink guard</w:t>
            </w:r>
          </w:p>
        </w:tc>
      </w:tr>
      <w:tr>
        <w:tc>
          <w:tcPr>
            <w:tcW w:type="dxa" w:w="5184"/>
          </w:tcPr>
          <w:p>
            <w:r>
              <w:t>Frozen-drift eligibility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</w:tbl>
    <w:p>
      <w:r>
        <w:t>A deliberate code or operational decision is required before August can use the controlled refresh path.</w:t>
      </w:r>
    </w:p>
    <w:p>
      <w:pPr>
        <w:pStyle w:val="Heading1"/>
      </w:pPr>
      <w:r>
        <w:t>A5. Effect of Adopting the Current Source</w:t>
      </w:r>
    </w:p>
    <w:p>
      <w:r>
        <w:t>Current production FY2026–27 total:</w:t>
      </w:r>
    </w:p>
    <w:p>
      <w:pPr>
        <w:pStyle w:val="ListBullet"/>
      </w:pPr>
      <w:r/>
      <w:r>
        <w:rPr>
          <w:b/>
        </w:rPr>
        <w:t>Source:</w:t>
      </w:r>
      <w:r>
        <w:t xml:space="preserve"> production sale_line</w:t>
      </w:r>
    </w:p>
    <w:p>
      <w:pPr>
        <w:pStyle w:val="ListBullet"/>
      </w:pPr>
      <w:r/>
      <w:r>
        <w:rPr>
          <w:b/>
        </w:rPr>
        <w:t>Rows:</w:t>
      </w:r>
      <w:r>
        <w:t xml:space="preserve"> 57,034</w:t>
      </w:r>
    </w:p>
    <w:p>
      <w:pPr>
        <w:pStyle w:val="ListBullet"/>
      </w:pPr>
      <w:r/>
      <w:r>
        <w:rPr>
          <w:b/>
        </w:rPr>
        <w:t>Value:</w:t>
      </w:r>
      <w:r>
        <w:t xml:space="preserve"> ₹1,36,03,70,140.42</w:t>
      </w:r>
    </w:p>
    <w:p>
      <w:r>
        <w:t>Current August source impact versus production:</w:t>
      </w:r>
    </w:p>
    <w:p>
      <w:pPr>
        <w:pStyle w:val="ListBullet"/>
      </w:pPr>
      <w:r/>
      <w:r>
        <w:rPr>
          <w:b/>
        </w:rPr>
        <w:t>Rows:</w:t>
      </w:r>
      <w:r>
        <w:t xml:space="preserve"> −16</w:t>
      </w:r>
    </w:p>
    <w:p>
      <w:pPr>
        <w:pStyle w:val="ListBullet"/>
      </w:pPr>
      <w:r/>
      <w:r>
        <w:rPr>
          <w:b/>
        </w:rPr>
        <w:t>Value:</w:t>
      </w:r>
      <w:r>
        <w:t xml:space="preserve"> −₹97,233.00</w:t>
      </w:r>
    </w:p>
    <w:p>
      <w:r>
        <w:t>Result if the current source were adopted:</w:t>
      </w:r>
    </w:p>
    <w:p>
      <w:pPr>
        <w:pStyle w:val="ListBullet"/>
      </w:pPr>
      <w:r/>
      <w:r>
        <w:rPr>
          <w:b/>
        </w:rPr>
        <w:t>Rows:</w:t>
      </w:r>
      <w:r>
        <w:t xml:space="preserve"> 57,018</w:t>
      </w:r>
    </w:p>
    <w:p>
      <w:pPr>
        <w:pStyle w:val="ListBullet"/>
      </w:pPr>
      <w:r/>
      <w:r>
        <w:rPr>
          <w:b/>
        </w:rPr>
        <w:t>Value:</w:t>
      </w:r>
      <w:r>
        <w:t xml:space="preserve"> ₹1,36,02,72,907.42</w:t>
      </w:r>
    </w:p>
    <w:p>
      <w:r>
        <w:t>The value effect relative to the original 2 September August snapshot cannot be calculated because that snapshot’s rows and amount were not retained durably.</w:t>
      </w:r>
    </w:p>
    <w:p>
      <w:pPr>
        <w:pStyle w:val="Heading1"/>
      </w:pPr>
      <w:r>
        <w:t>A6. Does Frozen-Drift Detection Need to Run First?</w:t>
      </w:r>
    </w:p>
    <w:p>
      <w:r>
        <w:t>Yes. Preview and apply require a drift-check ID, and detection creates that ID along with the evidence and preview hash.</w:t>
      </w:r>
    </w:p>
    <w:p>
      <w:r>
        <w:t>Detection is not read-only because it inserts frozen-drift check records. It was therefore not invoked during this investigation.</w:t>
      </w:r>
    </w:p>
    <w:p>
      <w:r>
        <w:t>Running it now would still not include August because August lacks a persisted frozen-at value.</w:t>
      </w:r>
    </w:p>
    <w:p>
      <w:pPr>
        <w:pStyle w:val="Title"/>
        <w:jc w:val="center"/>
      </w:pPr>
      <w:r>
        <w:t>Section B — Primary Ingest Ledger Status</w:t>
      </w:r>
    </w:p>
    <w:p>
      <w:r>
        <w:t>No Section B code was applied.</w:t>
      </w:r>
    </w:p>
    <w:p>
      <w:r>
        <w:t>The active primary replacement path is replaceOpenMonths. The ledger should be written inside or around the same per-month transaction so a successful ledger result cannot commit separately from a rolled-back data replacement.</w:t>
      </w:r>
    </w:p>
    <w:p>
      <w:r>
        <w:t>The proposed ledger must cover:</w:t>
      </w:r>
    </w:p>
    <w:p>
      <w:pPr>
        <w:pStyle w:val="ListBullet"/>
      </w:pPr>
      <w:r>
        <w:t>run identity, scheduler or operator, and timestamps;</w:t>
      </w:r>
    </w:p>
    <w:p>
      <w:pPr>
        <w:pStyle w:val="ListBullet"/>
      </w:pPr>
      <w:r>
        <w:t>fiscal year and month;</w:t>
      </w:r>
    </w:p>
    <w:p>
      <w:pPr>
        <w:pStyle w:val="ListBullet"/>
      </w:pPr>
      <w:r>
        <w:t>source rows and rows written;</w:t>
      </w:r>
    </w:p>
    <w:p>
      <w:pPr>
        <w:pStyle w:val="ListBullet"/>
      </w:pPr>
      <w:r>
        <w:t>before and after row counts and values;</w:t>
      </w:r>
    </w:p>
    <w:p>
      <w:pPr>
        <w:pStyle w:val="ListBullet"/>
      </w:pPr>
      <w:r>
        <w:t>added, removed, and changed counts;</w:t>
      </w:r>
    </w:p>
    <w:p>
      <w:pPr>
        <w:pStyle w:val="ListBullet"/>
      </w:pPr>
      <w:r>
        <w:t>before and after fingerprints;</w:t>
      </w:r>
    </w:p>
    <w:p>
      <w:pPr>
        <w:pStyle w:val="ListBullet"/>
      </w:pPr>
      <w:r>
        <w:t>source spreadsheet, tab, and content hash;</w:t>
      </w:r>
    </w:p>
    <w:p>
      <w:pPr>
        <w:pStyle w:val="ListBullet"/>
      </w:pPr>
      <w:r>
        <w:t>all replacement outcomes;</w:t>
      </w:r>
    </w:p>
    <w:p>
      <w:pPr>
        <w:pStyle w:val="ListBullet"/>
      </w:pPr>
      <w:r>
        <w:t>visibility for every row or value shrink;</w:t>
      </w:r>
    </w:p>
    <w:p>
      <w:pPr>
        <w:pStyle w:val="ListBullet"/>
      </w:pPr>
      <w:r>
        <w:t>a no-write dry-run sample.</w:t>
      </w:r>
    </w:p>
    <w:p>
      <w:r>
        <w:t>Because Prompt 61 requires the diff to be shown before applying, no files were edited.</w:t>
      </w:r>
    </w:p>
    <w:p>
      <w:pPr>
        <w:pStyle w:val="Title"/>
        <w:jc w:val="center"/>
      </w:pPr>
      <w:r>
        <w:t>Section C — Recommended Sequence</w:t>
      </w:r>
    </w:p>
    <w:p>
      <w:r>
        <w:t>The recommended sequence is:</w:t>
      </w:r>
    </w:p>
    <w:p>
      <w:pPr>
        <w:pStyle w:val="ListNumber"/>
      </w:pPr>
      <w:r/>
      <w:r>
        <w:rPr>
          <w:b/>
        </w:rPr>
        <w:t>Section B — durable primary ingest ledger</w:t>
      </w:r>
      <w:r/>
    </w:p>
    <w:p>
      <w:pPr>
        <w:pStyle w:val="ListNumber"/>
      </w:pPr>
      <w:r/>
      <w:r>
        <w:rPr>
          <w:b/>
        </w:rPr>
        <w:t>Persisted-frozen-state override from C4</w:t>
      </w:r>
      <w:r/>
    </w:p>
    <w:p>
      <w:pPr>
        <w:pStyle w:val="ListNumber"/>
      </w:pPr>
      <w:r/>
      <w:r>
        <w:rPr>
          <w:b/>
        </w:rPr>
        <w:t>C1 — ingest-generation cache keys</w:t>
      </w:r>
      <w:r/>
    </w:p>
    <w:p>
      <w:pPr>
        <w:pStyle w:val="ListNumber"/>
      </w:pPr>
      <w:r/>
      <w:r>
        <w:rPr>
          <w:b/>
        </w:rPr>
        <w:t>C2 — targeted invalidation</w:t>
      </w:r>
      <w:r/>
    </w:p>
    <w:p>
      <w:pPr>
        <w:pStyle w:val="ListNumber"/>
      </w:pPr>
      <w:r/>
      <w:r>
        <w:rPr>
          <w:b/>
        </w:rPr>
        <w:t>Remaining C4 — prospective first-of-fourth-month clock from Sep-26 forward</w:t>
      </w:r>
      <w:r/>
    </w:p>
    <w:p>
      <w:pPr>
        <w:pStyle w:val="ListNumber"/>
      </w:pPr>
      <w:r/>
      <w:r>
        <w:rPr>
          <w:b/>
        </w:rPr>
        <w:t>C3 — persisted weekly scheduler</w:t>
      </w:r>
      <w:r/>
    </w:p>
    <w:p>
      <w:pPr>
        <w:pStyle w:val="ListNumber"/>
      </w:pPr>
      <w:r/>
      <w:r>
        <w:rPr>
          <w:b/>
        </w:rPr>
        <w:t>C5 — automatic current-plus-one-prior replacement</w:t>
      </w:r>
      <w:r/>
    </w:p>
    <w:p>
      <w:r>
        <w:t>The persisted-frozen-state override should move immediately after the ledger because it establishes the structural invariant that a month can never reopen after freezing. The scheduler should remain after cache versioning, targeted invalidation, and the prospective freeze policy.</w:t>
      </w:r>
    </w:p>
    <w:p>
      <w:pPr>
        <w:pStyle w:val="Title"/>
        <w:jc w:val="center"/>
      </w:pPr>
      <w:r>
        <w:t>Final Status</w:t>
      </w:r>
    </w:p>
    <w:p>
      <w:r>
        <w:t>No detector was run. No drift was approved. No source state was adopted. No production data, source data, code, workflow, deployment, or publication state was changed.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Prompt 61 — August Drift and D8 Sequence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