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2277B7"/>
          <w:sz w:val="32"/>
        </w:rPr>
        <w:t>PRAYAG</w:t>
      </w:r>
    </w:p>
    <w:p>
      <w:pPr>
        <w:pStyle w:val="Title"/>
        <w:jc w:val="center"/>
      </w:pPr>
      <w:r>
        <w:t>Prompt 75</w:t>
      </w:r>
    </w:p>
    <w:p>
      <w:pPr>
        <w:jc w:val="center"/>
      </w:pPr>
      <w:r>
        <w:rPr>
          <w:color w:val="46505A"/>
          <w:sz w:val="32"/>
        </w:rPr>
        <w:t>AI Growth Report Mixed Denominator</w:t>
      </w:r>
    </w:p>
    <w:p>
      <w:pPr>
        <w:jc w:val="center"/>
      </w:pPr>
      <w:r>
        <w:rPr>
          <w:b/>
          <w:sz w:val="24"/>
        </w:rPr>
        <w:t>Section A — Read-only Investigation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Report date</w:t>
            </w:r>
          </w:p>
        </w:tc>
        <w:tc>
          <w:tcPr>
            <w:tcW w:type="dxa" w:w="532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16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12 September 2026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A1–A6 calculation, intent, population, distortion, surfaces and recurrence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Report only; Section B not applied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b/>
        </w:rPr>
        <w:t>Standing rule</w:t>
      </w:r>
      <w:r>
        <w:br/>
        <w:t>Every figure states which database or source it came from.</w:t>
      </w:r>
    </w:p>
    <w:p>
      <w:pPr>
        <w:pStyle w:val="SmallNote"/>
        <w:spacing w:after="100"/>
        <w:ind w:left="216"/>
      </w:pPr>
      <w:r>
        <w:t>No code or data was changed during Section A.</w:t>
      </w:r>
    </w:p>
    <w:p>
      <w:r>
        <w:br w:type="page"/>
      </w:r>
    </w:p>
    <w:p>
      <w:pPr>
        <w:pStyle w:val="Heading1"/>
      </w:pPr>
      <w:r>
        <w:t>Executive conclusion</w:t>
      </w:r>
    </w:p>
    <w:p>
      <w:pPr>
        <w:pStyle w:val="ListBullet"/>
        <w:spacing w:after="40"/>
      </w:pPr>
      <w:r>
        <w:t>WIDEN is a genuine mixed-population calculation: a primary-sales customer median monetizes a secondary distributor segment gap.</w:t>
      </w:r>
    </w:p>
    <w:p>
      <w:pPr>
        <w:pStyle w:val="ListBullet"/>
        <w:spacing w:after="40"/>
      </w:pPr>
      <w:r>
        <w:t>The population should be secondary SKU on both sides because the business question is distributor range breadth and secondary opportunity.</w:t>
      </w:r>
    </w:p>
    <w:p>
      <w:pPr>
        <w:pStyle w:val="ListBullet"/>
        <w:spacing w:after="40"/>
      </w:pPr>
      <w:r>
        <w:t>For ten production distributors in complete FY 2025–26, the same-secondary value is 15.7% lower than the current mixed value.</w:t>
      </w:r>
    </w:p>
    <w:p>
      <w:pPr>
        <w:pStyle w:val="ListBullet"/>
        <w:spacing w:after="40"/>
      </w:pPr>
      <w:r>
        <w:t>The current mixed value is 18.6% higher than the matched-population value in that sample; the defect is not latent.</w:t>
      </w:r>
    </w:p>
    <w:p>
      <w:pPr>
        <w:pStyle w:val="ListBullet"/>
        <w:spacing w:after="40"/>
      </w:pPr>
      <w:r>
        <w:t>ACTIVATE contains a second genuine mix: a secondary dormant-retailer count is monetized with the same primary-sales customer median.</w:t>
      </w:r>
    </w:p>
    <w:p>
      <w:pPr>
        <w:pStyle w:val="ListBullet"/>
        <w:spacing w:after="40"/>
      </w:pPr>
      <w:r>
        <w:t>No equivalent accidental ratio was confirmed in the other AI payload builders audited.</w:t>
      </w:r>
    </w:p>
    <w:p>
      <w:pPr>
        <w:pStyle w:val="Heading1"/>
      </w:pPr>
      <w:r>
        <w:t>A1 — exact mixed calculation</w:t>
      </w:r>
    </w:p>
    <w:p>
      <w:pPr>
        <w:pStyle w:val="Heading2"/>
      </w:pPr>
      <w:r>
        <w:t>Numerator: primary-sales customer median</w:t>
      </w:r>
    </w:p>
    <w:p>
      <w:pPr>
        <w:pStyle w:val="CodeBlock"/>
      </w:pPr>
      <w:r>
        <w:t>medianNet = median of SUM(sale_line.amount) per active customer</w:t>
        <w:br/>
        <w:br/>
        <w:t>Source: primary sale_line / sale_line_current</w:t>
        <w:br/>
        <w:t>Population: active primary-sales customers</w:t>
        <w:br/>
        <w:t>Period: selected report months</w:t>
        <w:br/>
        <w:t>Exclusion: Non-territory / Project / Govt</w:t>
      </w:r>
    </w:p>
    <w:p>
      <w:pPr>
        <w:pStyle w:val="SmallNote"/>
        <w:spacing w:after="100"/>
        <w:ind w:left="216"/>
      </w:pPr>
      <w:r>
        <w:t>Code evidence: artifacts/api-server/src/routes/aiGrowthReport.ts, queryMedianActiveCustomer, lines 309–334.</w:t>
      </w:r>
    </w:p>
    <w:p>
      <w:pPr>
        <w:pStyle w:val="Heading2"/>
      </w:pPr>
      <w:r>
        <w:t>Denominator and gap: secondary distributor breadth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584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44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44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Population</w:t>
            </w:r>
          </w:p>
        </w:tc>
        <w:tc>
          <w:tcPr>
            <w:tcW w:type="dxa" w:w="316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Breadth measure</w:t>
            </w:r>
          </w:p>
        </w:tc>
        <w:tc>
          <w:tcPr>
            <w:tcW w:type="dxa" w:w="144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Period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Company/state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secondary_sku_line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Secondary-SKU distributors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Distinct positive, mapped segment_canon; peer median across distributors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Whole selected FY</w:t>
            </w:r>
          </w:p>
        </w:tc>
      </w:tr>
      <w:tr>
        <w:tc>
          <w:tcPr>
            <w:tcW w:type="dxa" w:w="158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 head</w:t>
            </w:r>
          </w:p>
        </w:tc>
        <w:tc>
          <w:tcPr>
            <w:tcW w:type="dxa" w:w="244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secondary_register_line through Distributor Deep Dive</w:t>
            </w:r>
          </w:p>
        </w:tc>
        <w:tc>
          <w:tcPr>
            <w:tcW w:type="dxa" w:w="244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Secondary-register distributors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distinctBrands from brand_canon; peer median across distributors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Selected FY</w:t>
            </w:r>
          </w:p>
        </w:tc>
      </w:tr>
    </w:tbl>
    <w:p>
      <w:pPr>
        <w:spacing w:after="0"/>
      </w:pPr>
    </w:p>
    <w:p>
      <w:pPr>
        <w:pStyle w:val="SmallNote"/>
        <w:spacing w:after="100"/>
        <w:ind w:left="216"/>
      </w:pPr>
      <w:r>
        <w:t>Company/state code evidence: aiGrowthReport.ts lines 451–503. State-head code evidence: lines 973–1001.</w:t>
      </w:r>
    </w:p>
    <w:p>
      <w:pPr>
        <w:pStyle w:val="Heading2"/>
      </w:pPr>
      <w:r>
        <w:t>Current formula</w:t>
      </w:r>
    </w:p>
    <w:p>
      <w:pPr>
        <w:pStyle w:val="CodeBlock"/>
      </w:pPr>
      <w:r>
        <w:t>quarterEquivalent = max(1, selectedMonthCount / 3)</w:t>
        <w:br/>
        <w:br/>
        <w:t>perSegmentQuarterly =</w:t>
        <w:br/>
        <w:t xml:space="preserve">  (primaryCustomerMedianNet / quarterEquivalent)</w:t>
        <w:br/>
        <w:t xml:space="preserve">  / secondaryPeerMedianSegmentCount</w:t>
        <w:br/>
        <w:br/>
        <w:t>valueHigh =</w:t>
        <w:br/>
        <w:t xml:space="preserve">  secondarySegmentGap</w:t>
        <w:br/>
        <w:t xml:space="preserve">  × perSegmentQuarterly</w:t>
        <w:br/>
        <w:t xml:space="preserve">  × rangeUptake</w:t>
        <w:br/>
        <w:br/>
        <w:t>valueLow = valueHigh / 2</w:t>
      </w:r>
    </w:p>
    <w:p>
      <w:r>
        <w:rPr>
          <w:b/>
        </w:rPr>
        <w:t xml:space="preserve">Defect. </w:t>
      </w:r>
      <w:r>
        <w:t>The numerator represents primary customers, while the denominator and gap represent secondary distributors. Company/state scope also compares a selected-period primary median with whole-FY segment breadth.</w:t>
      </w:r>
    </w:p>
    <w:p>
      <w:pPr>
        <w:pStyle w:val="Heading1"/>
      </w:pPr>
      <w:r>
        <w:t>A2 — intended business question</w:t>
      </w:r>
    </w:p>
    <w:p>
      <w:r>
        <w:rPr>
          <w:b/>
        </w:rPr>
        <w:t xml:space="preserve">Question: </w:t>
      </w:r>
      <w:r>
        <w:t>Which distributors carry fewer product segments or brands than their peers, and what incremental secondary business might be available if they broadened their range toward the peer median?</w:t>
      </w:r>
    </w:p>
    <w:p>
      <w:pPr>
        <w:pStyle w:val="ListBullet"/>
        <w:spacing w:after="40"/>
      </w:pPr>
      <w:r>
        <w:t>Measures each distributor’s segment or brand breadth.</w:t>
      </w:r>
    </w:p>
    <w:p>
      <w:pPr>
        <w:pStyle w:val="ListBullet"/>
        <w:spacing w:after="40"/>
      </w:pPr>
      <w:r>
        <w:t>Compares that breadth with the distributor peer median.</w:t>
      </w:r>
    </w:p>
    <w:p>
      <w:pPr>
        <w:pStyle w:val="ListBullet"/>
        <w:spacing w:after="40"/>
      </w:pPr>
      <w:r>
        <w:t>Calculates the missing-segment gap.</w:t>
      </w:r>
    </w:p>
    <w:p>
      <w:pPr>
        <w:pStyle w:val="ListBullet"/>
        <w:spacing w:after="40"/>
      </w:pPr>
      <w:r>
        <w:t>Assigns an assumed value to the gap and applies the range-uptake assumption.</w:t>
      </w:r>
    </w:p>
    <w:p>
      <w:pPr>
        <w:pStyle w:val="ListBullet"/>
        <w:spacing w:after="40"/>
      </w:pPr>
      <w:r>
        <w:t>Reports half-to-full opportunity values; it is not an observed sale or probability.</w:t>
      </w:r>
    </w:p>
    <w:p>
      <w:pPr>
        <w:pStyle w:val="SmallNote"/>
        <w:spacing w:after="100"/>
        <w:ind w:left="216"/>
      </w:pPr>
      <w:r>
        <w:t>Sources: aiGrowthReport.ts WIDEN builder and payload; FullGrowthReport.tsx WIDEN section.</w:t>
      </w:r>
    </w:p>
    <w:p>
      <w:pPr>
        <w:pStyle w:val="Heading1"/>
      </w:pPr>
      <w:r>
        <w:t>A3 — population the metric should use</w:t>
      </w:r>
    </w:p>
    <w:p>
      <w:r>
        <w:rPr>
          <w:b/>
        </w:rPr>
        <w:t>Decision: secondary SKU on both sides.</w:t>
      </w:r>
    </w:p>
    <w:p>
      <w:r>
        <w:t>The candidate, breadth, peer set and gap are already secondary distributor measures. The monetary baseline should therefore be the median positive secondary-SKU NET per distributor from the same FY, geography and period—not a primary-sales customer median.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8352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matched basis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Numerator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Median positive secondary-SKU NET per distributor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Denominator</w:t>
            </w:r>
          </w:p>
        </w:tc>
        <w:tc>
          <w:tcPr>
            <w:tcW w:type="dxa" w:w="835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Median distinct secondary segments per distributor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Gap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Missing secondary segments versus the peer median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Entity</w:t>
            </w:r>
          </w:p>
        </w:tc>
        <w:tc>
          <w:tcPr>
            <w:tcW w:type="dxa" w:w="835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Distributor throughout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Scope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Same FY, geography and period on both sides</w:t>
            </w:r>
          </w:p>
        </w:tc>
      </w:tr>
    </w:tbl>
    <w:p>
      <w:pPr>
        <w:spacing w:after="0"/>
      </w:pPr>
    </w:p>
    <w:p>
      <w:pPr>
        <w:pStyle w:val="SmallNote"/>
        <w:spacing w:after="100"/>
        <w:ind w:left="216"/>
      </w:pPr>
      <w:r>
        <w:t>Primary sales is the wrong population because it measures primary customers and invoices. Secondary order booking is also the wrong source because the breadth evidence comes from item-level secondary SKU/register data.</w:t>
      </w:r>
    </w:p>
    <w:p>
      <w:r>
        <w:br w:type="page"/>
      </w:r>
    </w:p>
    <w:p>
      <w:pPr>
        <w:pStyle w:val="Heading1"/>
      </w:pPr>
      <w:r>
        <w:t>A4 — production distortion sample</w:t>
      </w:r>
    </w:p>
    <w:p>
      <w:pPr>
        <w:pStyle w:val="Heading2"/>
      </w:pPr>
      <w:r>
        <w:t>Sample basis</w:t>
      </w:r>
    </w:p>
    <w:p>
      <w:pPr>
        <w:pStyle w:val="SmallNote"/>
        <w:spacing w:after="100"/>
        <w:ind w:left="216"/>
      </w:pPr>
      <w:r>
        <w:t>FY 2025–26 was selected because it is the latest complete production secondary-SKU year. Every figure below comes from the production PostgreSQL database.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Production measure</w:t>
            </w:r>
          </w:p>
        </w:tc>
        <w:tc>
          <w:tcPr>
            <w:tcW w:type="dxa" w:w="216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896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Secondary-SKU rows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379,439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secondary_sku_line, FY 2025–26</w:t>
            </w:r>
          </w:p>
        </w:tc>
      </w:tr>
      <w:tr>
        <w:tc>
          <w:tcPr>
            <w:tcW w:type="dxa" w:w="36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Distributors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256</w:t>
            </w:r>
          </w:p>
        </w:tc>
        <w:tc>
          <w:tcPr>
            <w:tcW w:type="dxa" w:w="489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secondary_sku_line, distinct distributor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Recorded months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secondary_sku_line, distinct month_label</w:t>
            </w:r>
          </w:p>
        </w:tc>
      </w:tr>
      <w:tr>
        <w:tc>
          <w:tcPr>
            <w:tcW w:type="dxa" w:w="36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 NET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₹231.09 Cr</w:t>
            </w:r>
          </w:p>
        </w:tc>
        <w:tc>
          <w:tcPr>
            <w:tcW w:type="dxa" w:w="489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SUM(secondary_sku_line.net_amount)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active-customer median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₹19.31 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sale_line_current, active territory customers</w:t>
            </w:r>
          </w:p>
        </w:tc>
      </w:tr>
      <w:tr>
        <w:tc>
          <w:tcPr>
            <w:tcW w:type="dxa" w:w="36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 distributor NET median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₹16.28 L</w:t>
            </w:r>
          </w:p>
        </w:tc>
        <w:tc>
          <w:tcPr>
            <w:tcW w:type="dxa" w:w="489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secondary_sku_line, positive distributor NET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 peer breadth median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segments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secondary_sku_line.segment_canon</w:t>
            </w:r>
          </w:p>
        </w:tc>
      </w:tr>
      <w:tr>
        <w:tc>
          <w:tcPr>
            <w:tcW w:type="dxa" w:w="36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Uptake assumption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40%</w:t>
            </w:r>
          </w:p>
        </w:tc>
        <w:tc>
          <w:tcPr>
            <w:tcW w:type="dxa" w:w="489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AI Growth Report default</w:t>
            </w:r>
          </w:p>
        </w:tc>
      </w:tr>
    </w:tbl>
    <w:p>
      <w:pPr>
        <w:spacing w:after="0"/>
      </w:pPr>
    </w:p>
    <w:p>
      <w:pPr>
        <w:pStyle w:val="Heading2"/>
      </w:pPr>
      <w:r>
        <w:t>Ten-distributor comparison</w:t>
      </w:r>
    </w:p>
    <w:p>
      <w:pPr>
        <w:pStyle w:val="SmallNote"/>
        <w:spacing w:after="100"/>
        <w:ind w:left="216"/>
      </w:pPr>
      <w:r>
        <w:t>All ten have one observed secondary segment against a five-segment peer median, so each has a four-segment gap. “Mixed” uses the current primary customer median; “matched” uses the secondary distributor median. Values shown are opportunity high; low is half.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316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Distributor</w:t>
            </w:r>
          </w:p>
        </w:tc>
        <w:tc>
          <w:tcPr>
            <w:tcW w:type="dxa" w:w="792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</w:t>
            </w:r>
          </w:p>
        </w:tc>
        <w:tc>
          <w:tcPr>
            <w:tcW w:type="dxa" w:w="792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Peer</w:t>
            </w:r>
          </w:p>
        </w:tc>
        <w:tc>
          <w:tcPr>
            <w:tcW w:type="dxa" w:w="792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Gap</w:t>
            </w:r>
          </w:p>
        </w:tc>
        <w:tc>
          <w:tcPr>
            <w:tcW w:type="dxa" w:w="144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Mixed high</w:t>
            </w:r>
          </w:p>
        </w:tc>
        <w:tc>
          <w:tcPr>
            <w:tcW w:type="dxa" w:w="1512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Matched high</w:t>
            </w:r>
          </w:p>
        </w:tc>
        <w:tc>
          <w:tcPr>
            <w:tcW w:type="dxa" w:w="144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Difference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360.INC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₹1.54 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₹1.30 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−₹0.24 L</w:t>
            </w:r>
          </w:p>
        </w:tc>
      </w:tr>
      <w:tr>
        <w:tc>
          <w:tcPr>
            <w:tcW w:type="dxa" w:w="31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ANISH ENTERPRISE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₹1.54 L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₹1.30 L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−₹0.24 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AYAN ENTERPRISE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₹1.54 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₹1.30 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−₹0.24 L</w:t>
            </w:r>
          </w:p>
        </w:tc>
      </w:tr>
      <w:tr>
        <w:tc>
          <w:tcPr>
            <w:tcW w:type="dxa" w:w="31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Beharilall Madanlall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₹1.54 L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₹1.30 L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−₹0.24 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Brothers Hardware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₹1.54 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₹1.30 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−₹0.24 L</w:t>
            </w:r>
          </w:p>
        </w:tc>
      </w:tr>
      <w:tr>
        <w:tc>
          <w:tcPr>
            <w:tcW w:type="dxa" w:w="31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G.H. BROTHERS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₹1.54 L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₹1.30 L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−₹0.24 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Godara traders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₹1.54 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₹1.30 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−₹0.24 L</w:t>
            </w:r>
          </w:p>
        </w:tc>
      </w:tr>
      <w:tr>
        <w:tc>
          <w:tcPr>
            <w:tcW w:type="dxa" w:w="31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Gopal Pipe Corporation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₹1.54 L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₹1.30 L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−₹0.24 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Hemang Sales Agency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₹1.54 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₹1.30 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−₹0.24 L</w:t>
            </w:r>
          </w:p>
        </w:tc>
      </w:tr>
      <w:tr>
        <w:tc>
          <w:tcPr>
            <w:tcW w:type="dxa" w:w="31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MS Haider TRADING HUB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79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₹1.54 L</w:t>
            </w:r>
          </w:p>
        </w:tc>
        <w:tc>
          <w:tcPr>
            <w:tcW w:type="dxa" w:w="151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₹1.30 L</w:t>
            </w:r>
          </w:p>
        </w:tc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−₹0.24 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Comparison</w:t>
            </w:r>
          </w:p>
        </w:tc>
        <w:tc>
          <w:tcPr>
            <w:tcW w:type="dxa" w:w="288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mixed</w:t>
            </w:r>
          </w:p>
        </w:tc>
        <w:tc>
          <w:tcPr>
            <w:tcW w:type="dxa" w:w="316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Same-secondary</w:t>
            </w:r>
          </w:p>
        </w:tc>
        <w:tc>
          <w:tcPr>
            <w:tcW w:type="dxa" w:w="3312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Movement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Opportunity range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₹77,242.07–₹154,484.13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₹65,131.96–₹130,263.92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 −₹24,220.21; low −₹12,110.11</w:t>
            </w:r>
          </w:p>
        </w:tc>
      </w:tr>
      <w:tr>
        <w:tc>
          <w:tcPr>
            <w:tcW w:type="dxa" w:w="216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Relative result</w:t>
            </w:r>
          </w:p>
        </w:tc>
        <w:tc>
          <w:tcPr>
            <w:tcW w:type="dxa" w:w="28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Baseline current value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15.7% lower than current</w:t>
            </w:r>
          </w:p>
        </w:tc>
        <w:tc>
          <w:tcPr>
            <w:tcW w:type="dxa" w:w="331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is 18.6% higher than matched value</w:t>
            </w:r>
          </w:p>
        </w:tc>
      </w:tr>
    </w:tbl>
    <w:p>
      <w:pPr>
        <w:spacing w:after="0"/>
      </w:pPr>
    </w:p>
    <w:p>
      <w:r>
        <w:rPr>
          <w:b/>
        </w:rPr>
        <w:t xml:space="preserve">Urgency: not latent. </w:t>
      </w:r>
      <w:r>
        <w:t>The difference is large enough to change WIDEN totals, lever ranking, the opportunity ledger and the strength of the qualitative interpretation.</w:t>
      </w:r>
    </w:p>
    <w:p>
      <w:pPr>
        <w:pStyle w:val="Heading1"/>
      </w:pPr>
      <w:r>
        <w:t>A5 — where the metric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7776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How WIDEN appears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/api/ai/full-report/growth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top20Distributors, valueLow/valueHigh, source/basis notes, assumptions and availability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Opportunity ledger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 to 15 WIDEN distributor rows with low/high value and low-confidence basis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Executive lever ranking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WIDEN total contributes to lever ordering and total opportunity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Numeric guard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Generated WIDEN value is included in the numeric allowlist/guard payload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FullGrowthReport §4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Total range, up to 20 distributor rows, breadth, gap note and low/high value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Claude narrative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Qualitative 2–3 sentence range-gap interpretation; prompt prohibits names, figures and totals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Cache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Complete payload cached 15 minutes for open FY; frozen FY payload may persist indefinitely</w:t>
            </w:r>
          </w:p>
        </w:tc>
      </w:tr>
    </w:tbl>
    <w:p>
      <w:pPr>
        <w:spacing w:after="0"/>
      </w:pPr>
    </w:p>
    <w:p>
      <w:pPr>
        <w:pStyle w:val="SmallNote"/>
        <w:spacing w:after="100"/>
        <w:ind w:left="216"/>
      </w:pPr>
      <w:r>
        <w:t>No separate WIDEN artifact, export or chart was found. Code evidence: aiGrowthReport.ts lines 1024–1499; FullGrowthReport.tsx lines 322–377.</w:t>
      </w:r>
    </w:p>
    <w:p>
      <w:pPr>
        <w:pStyle w:val="Heading1"/>
      </w:pPr>
      <w:r>
        <w:t>A6 — recurrence audit</w:t>
      </w:r>
    </w:p>
    <w:p>
      <w:pPr>
        <w:pStyle w:val="Heading2"/>
      </w:pPr>
      <w:r>
        <w:t>Second confirmed defect: ACTIVATE</w:t>
      </w:r>
    </w:p>
    <w:p>
      <w:pPr>
        <w:pStyle w:val="CodeBlock"/>
      </w:pPr>
      <w:r>
        <w:t>quarterlyMedian =</w:t>
        <w:br/>
        <w:t xml:space="preserve">  primarySalesCustomerMedian / quarterEquivalent</w:t>
        <w:br/>
        <w:br/>
        <w:t>valueHigh =</w:t>
        <w:br/>
        <w:t xml:space="preserve">  secondaryDormantRetailerCount</w:t>
        <w:br/>
        <w:t xml:space="preserve">  × quarterlyMedian</w:t>
        <w:br/>
        <w:t xml:space="preserve">  × dormantRevival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316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Count source</w:t>
            </w:r>
          </w:p>
        </w:tc>
        <w:tc>
          <w:tcPr>
            <w:tcW w:type="dxa" w:w="3456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 source</w:t>
            </w:r>
          </w:p>
        </w:tc>
        <w:tc>
          <w:tcPr>
            <w:tcW w:type="dxa" w:w="172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State-head ACTIVATE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Member-sheet/deep-dive secondary dormant retailers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sale_line active-customer median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Mixed population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Company/state ACTIVATE</w:t>
            </w:r>
          </w:p>
        </w:tc>
        <w:tc>
          <w:tcPr>
            <w:tcW w:type="dxa" w:w="31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secondary_sku_line dormant retailers</w:t>
            </w:r>
          </w:p>
        </w:tc>
        <w:tc>
          <w:tcPr>
            <w:tcW w:type="dxa" w:w="345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sale_line active-customer median</w:t>
            </w:r>
          </w:p>
        </w:tc>
        <w:tc>
          <w:tcPr>
            <w:tcW w:type="dxa" w:w="172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Mixed population</w:t>
            </w:r>
          </w:p>
        </w:tc>
      </w:tr>
    </w:tbl>
    <w:p>
      <w:pPr>
        <w:spacing w:after="0"/>
      </w:pPr>
    </w:p>
    <w:p>
      <w:pPr>
        <w:pStyle w:val="SmallNote"/>
        <w:spacing w:after="100"/>
        <w:ind w:left="216"/>
      </w:pPr>
      <w:r>
        <w:t>Code evidence: aiGrowthReport.ts lines 872–883 and 896–905. Source notes in the payload explicitly identify the primary-sales median and secondary-register activation population.</w:t>
      </w:r>
    </w:p>
    <w:p>
      <w:pPr>
        <w:pStyle w:val="Heading2"/>
      </w:pPr>
      <w:r>
        <w:t>WIDEN paths affected</w:t>
      </w:r>
    </w:p>
    <w:p>
      <w:pPr>
        <w:pStyle w:val="ListNumber"/>
        <w:spacing w:after="40"/>
      </w:pPr>
      <w:r>
        <w:t>State-head path: secondary-register distinctBrands and peer median are monetized with the primary-sales customer median.</w:t>
      </w:r>
    </w:p>
    <w:p>
      <w:pPr>
        <w:pStyle w:val="ListNumber"/>
        <w:spacing w:after="40"/>
      </w:pPr>
      <w:r>
        <w:t>Company/state path: secondary_sku_line segment_canon gap and peer median are monetized with the primary-sales customer median.</w:t>
      </w:r>
    </w:p>
    <w:p>
      <w:pPr>
        <w:pStyle w:val="Heading2"/>
      </w:pPr>
      <w:r>
        <w:t>Audited calculations that are intentional</w:t>
      </w:r>
    </w:p>
    <w:p>
      <w:pPr>
        <w:pStyle w:val="ListBullet"/>
        <w:spacing w:after="40"/>
      </w:pPr>
      <w:r>
        <w:t>Total order booking explicitly adds separately exposed secondary and direct-dealer components.</w:t>
      </w:r>
    </w:p>
    <w:p>
      <w:pPr>
        <w:pStyle w:val="ListBullet"/>
        <w:spacing w:after="40"/>
      </w:pPr>
      <w:r>
        <w:t>Total, secondary and primary achievement ratios use their matching target denominators.</w:t>
      </w:r>
    </w:p>
    <w:p>
      <w:pPr>
        <w:pStyle w:val="ListBullet"/>
        <w:spacing w:after="40"/>
      </w:pPr>
      <w:r>
        <w:t>Distributor fill rate uses primary dispatch and primary order booking.</w:t>
      </w:r>
    </w:p>
    <w:p>
      <w:pPr>
        <w:pStyle w:val="ListBullet"/>
        <w:spacing w:after="40"/>
      </w:pPr>
      <w:r>
        <w:t>Stock-flow gaps explicitly compare labelled primary-in and secondary-out flows.</w:t>
      </w:r>
    </w:p>
    <w:p>
      <w:pPr>
        <w:pStyle w:val="ListBullet"/>
        <w:spacing w:after="40"/>
      </w:pPr>
      <w:r>
        <w:t>Distributor concentration ratios use one distributor order-booking population.</w:t>
      </w:r>
    </w:p>
    <w:p>
      <w:pPr>
        <w:pStyle w:val="SmallNote"/>
        <w:spacing w:after="100"/>
        <w:ind w:left="216"/>
      </w:pPr>
      <w:r>
        <w:t>No additional accidental numerator/denominator mix equivalent to WIDEN or ACTIVATE was confirmed in the other AI payload builders.</w:t>
      </w:r>
    </w:p>
    <w:p>
      <w:pPr>
        <w:pStyle w:val="Heading1"/>
      </w:pPr>
      <w:r>
        <w:t>Section A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Defect</w:t>
            </w:r>
          </w:p>
        </w:tc>
        <w:tc>
          <w:tcPr>
            <w:tcW w:type="dxa" w:w="5472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mixed calculation</w:t>
            </w:r>
          </w:p>
        </w:tc>
        <w:tc>
          <w:tcPr>
            <w:tcW w:type="dxa" w:w="360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 consequence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WIDEN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 range gap × primary-sales customer value proxy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Matched secondary value is 15.7% lower for the ten production examples</w:t>
            </w:r>
          </w:p>
        </w:tc>
      </w:tr>
      <w:tr>
        <w:tc>
          <w:tcPr>
            <w:tcW w:type="dxa" w:w="172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ACTIVATE</w:t>
            </w:r>
          </w:p>
        </w:tc>
        <w:tc>
          <w:tcPr>
            <w:tcW w:type="dxa" w:w="547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 dormant-retailer count × primary-sales customer median</w:t>
            </w:r>
          </w:p>
        </w:tc>
        <w:tc>
          <w:tcPr>
            <w:tcW w:type="dxa" w:w="36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second genuine cross-population opportunity calculation</w:t>
            </w:r>
          </w:p>
        </w:tc>
      </w:tr>
    </w:tbl>
    <w:p>
      <w:pPr>
        <w:spacing w:after="0"/>
      </w:pPr>
    </w:p>
    <w:p>
      <w:r>
        <w:rPr>
          <w:b/>
        </w:rPr>
        <w:t xml:space="preserve">Section B status: </w:t>
      </w:r>
      <w:r>
        <w:t>not applied. This document reports evidence only and proposes no code change.</w:t>
      </w:r>
    </w:p>
    <w:p>
      <w:pPr>
        <w:pStyle w:val="Heading1"/>
      </w:pPr>
      <w:r>
        <w:t>Evidence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632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evidence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Growth builder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artifacts/api-server/src/routes/aiGrowthReport.ts</w:t>
            </w:r>
          </w:p>
        </w:tc>
      </w:tr>
      <w:tr>
        <w:tc>
          <w:tcPr>
            <w:tcW w:type="dxa" w:w="302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WIDEN UI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artifacts/prayag/src/components/ai/FullGrowthReport.tsx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WIDEN unit tests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artifacts/api-server/src/routes/aiGrowthReport.widen.test.ts</w:t>
            </w:r>
          </w:p>
        </w:tc>
      </w:tr>
      <w:tr>
        <w:tc>
          <w:tcPr>
            <w:tcW w:type="dxa" w:w="302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Growth guard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artifacts/api-server/scripts/growth-report-guard-check.mjs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Other AI payload audit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artifacts/api-server/src/lib/mgmt/aiPayload.ts; aiDistributorPayload.ts; distributorDeepDive.ts</w:t>
            </w:r>
          </w:p>
        </w:tc>
      </w:tr>
      <w:tr>
        <w:tc>
          <w:tcPr>
            <w:tcW w:type="dxa" w:w="302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Production comparison</w:t>
            </w:r>
          </w:p>
        </w:tc>
        <w:tc>
          <w:tcPr>
            <w:tcW w:type="dxa" w:w="763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Production PostgreSQL sale_line_current and secondary_sku_line, read-only queries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Prompt 75 Section A  •  12 September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PRAYAG SALES INTELLIGENCE  |  PROMPT 75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7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0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25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7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646E"/>
      <w:sz w:val="16"/>
    </w:rPr>
  </w:style>
  <w:style w:type="paragraph" w:customStyle="1" w:styleId="CodeBlock">
    <w:name w:val="Code Block"/>
    <w:pPr>
      <w:spacing w:before="80" w:after="120"/>
      <w:ind w:left="360" w:right="360"/>
    </w:pPr>
    <w:rPr>
      <w:rFonts w:ascii="Consolas" w:hAnsi="Consolas"/>
      <w:color w:val="232D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