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P008 — SALES</w:t>
      </w:r>
    </w:p>
    <w:p>
      <w:pPr>
        <w:jc w:val="center"/>
      </w:pPr>
      <w:r>
        <w:rPr>
          <w:b/>
          <w:sz w:val="26"/>
        </w:rPr>
        <w:t>Hyphen normalisation for the product-code resolver</w:t>
      </w:r>
    </w:p>
    <w:p>
      <w:pPr>
        <w:jc w:val="center"/>
      </w:pPr>
      <w:r>
        <w:t>Implementation and reclassification report · 14 September 2026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Added a fifth, last-position rule that removes internal hyphens and accepts only a unique catalogue match.</w:t>
      </w:r>
    </w:p>
    <w:p>
      <w:pPr>
        <w:pStyle w:val="ListBullet"/>
      </w:pPr>
      <w:r>
        <w:t>Added an explicit ambiguous outcome and an appliedRules trace for composed transformations.</w:t>
      </w:r>
    </w:p>
    <w:p>
      <w:pPr>
        <w:pStyle w:val="ListBullet"/>
      </w:pPr>
      <w:r>
        <w:t>Recovered 8 FY2026-27 register codes covering 82 lines and ₹54,17,245.56.</w:t>
      </w:r>
    </w:p>
    <w:p>
      <w:pPr>
        <w:pStyle w:val="ListBullet"/>
      </w:pPr>
      <w:r>
        <w:t>Reduced unresolved codes from 822 to 814 and unresolved value from ₹9,90,25,083.27 to ₹9,36,07,837.71.</w:t>
      </w:r>
    </w:p>
    <w:p>
      <w:pPr>
        <w:pStyle w:val="ListBullet"/>
      </w:pPr>
      <w:r>
        <w:t>FY2025-26 remains exactly 145,613 rows and ₹3,60,99,53,808.51.</w:t>
      </w:r>
    </w:p>
    <w:p>
      <w:pPr>
        <w:pStyle w:val="Heading1"/>
      </w:pPr>
      <w:r>
        <w:t>1. Codes recovered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174A5B"/>
          </w:tcPr>
          <w:p>
            <w:r>
              <w:rPr>
                <w:b/>
                <w:color w:val="FFFFFF"/>
              </w:rPr>
              <w:t>Register code</w:t>
            </w:r>
          </w:p>
        </w:tc>
        <w:tc>
          <w:tcPr>
            <w:tcW w:type="dxa" w:w="2448"/>
            <w:shd w:fill="174A5B"/>
          </w:tcPr>
          <w:p>
            <w:r>
              <w:rPr>
                <w:b/>
                <w:color w:val="FFFFFF"/>
              </w:rPr>
              <w:t>Catalogue code</w:t>
            </w:r>
          </w:p>
        </w:tc>
        <w:tc>
          <w:tcPr>
            <w:tcW w:type="dxa" w:w="1008"/>
            <w:shd w:fill="174A5B"/>
          </w:tcPr>
          <w:p>
            <w:r>
              <w:rPr>
                <w:b/>
                <w:color w:val="FFFFFF"/>
              </w:rPr>
              <w:t>Lines</w:t>
            </w:r>
          </w:p>
        </w:tc>
        <w:tc>
          <w:tcPr>
            <w:tcW w:type="dxa" w:w="2160"/>
            <w:shd w:fill="174A5B"/>
          </w:tcPr>
          <w:p>
            <w:r>
              <w:rPr>
                <w:b/>
                <w:color w:val="FFFFFF"/>
              </w:rPr>
              <w:t>FY2026-27 value</w:t>
            </w:r>
          </w:p>
        </w:tc>
      </w:tr>
      <w:tr>
        <w:tc>
          <w:tcPr>
            <w:tcW w:type="dxa" w:w="2160"/>
            <w:vAlign w:val="center"/>
          </w:tcPr>
          <w:p>
            <w:r>
              <w:t>324-K</w:t>
            </w:r>
          </w:p>
        </w:tc>
        <w:tc>
          <w:tcPr>
            <w:tcW w:type="dxa" w:w="2448"/>
            <w:vAlign w:val="center"/>
          </w:tcPr>
          <w:p>
            <w:r>
              <w:t>324K</w:t>
            </w:r>
          </w:p>
        </w:tc>
        <w:tc>
          <w:tcPr>
            <w:tcW w:type="dxa" w:w="1008"/>
            <w:vAlign w:val="center"/>
          </w:tcPr>
          <w:p>
            <w:r>
              <w:t>25</w:t>
            </w:r>
          </w:p>
        </w:tc>
        <w:tc>
          <w:tcPr>
            <w:tcW w:type="dxa" w:w="2160"/>
            <w:vAlign w:val="center"/>
          </w:tcPr>
          <w:p>
            <w:r>
              <w:t>₹23,88,409.96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r>
              <w:t>323-K</w:t>
            </w:r>
          </w:p>
        </w:tc>
        <w:tc>
          <w:tcPr>
            <w:tcW w:type="dxa" w:w="2448"/>
            <w:vAlign w:val="center"/>
            <w:shd w:fill="F1F5F9"/>
          </w:tcPr>
          <w:p>
            <w:r>
              <w:t>323K</w:t>
            </w:r>
          </w:p>
        </w:tc>
        <w:tc>
          <w:tcPr>
            <w:tcW w:type="dxa" w:w="1008"/>
            <w:vAlign w:val="center"/>
            <w:shd w:fill="F1F5F9"/>
          </w:tcPr>
          <w:p>
            <w:r>
              <w:t>24</w:t>
            </w:r>
          </w:p>
        </w:tc>
        <w:tc>
          <w:tcPr>
            <w:tcW w:type="dxa" w:w="2160"/>
            <w:vAlign w:val="center"/>
            <w:shd w:fill="F1F5F9"/>
          </w:tcPr>
          <w:p>
            <w:r>
              <w:t>₹18,22,998.32</w:t>
            </w:r>
          </w:p>
        </w:tc>
      </w:tr>
      <w:tr>
        <w:tc>
          <w:tcPr>
            <w:tcW w:type="dxa" w:w="2160"/>
            <w:vAlign w:val="center"/>
          </w:tcPr>
          <w:p>
            <w:r>
              <w:t>326-K</w:t>
            </w:r>
          </w:p>
        </w:tc>
        <w:tc>
          <w:tcPr>
            <w:tcW w:type="dxa" w:w="2448"/>
            <w:vAlign w:val="center"/>
          </w:tcPr>
          <w:p>
            <w:r>
              <w:t>326K</w:t>
            </w:r>
          </w:p>
        </w:tc>
        <w:tc>
          <w:tcPr>
            <w:tcW w:type="dxa" w:w="1008"/>
            <w:vAlign w:val="center"/>
          </w:tcPr>
          <w:p>
            <w:r>
              <w:t>12</w:t>
            </w:r>
          </w:p>
        </w:tc>
        <w:tc>
          <w:tcPr>
            <w:tcW w:type="dxa" w:w="2160"/>
            <w:vAlign w:val="center"/>
          </w:tcPr>
          <w:p>
            <w:r>
              <w:t>₹6,63,014.28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r>
              <w:t>325-K</w:t>
            </w:r>
          </w:p>
        </w:tc>
        <w:tc>
          <w:tcPr>
            <w:tcW w:type="dxa" w:w="2448"/>
            <w:vAlign w:val="center"/>
            <w:shd w:fill="F1F5F9"/>
          </w:tcPr>
          <w:p>
            <w:r>
              <w:t>325K</w:t>
            </w:r>
          </w:p>
        </w:tc>
        <w:tc>
          <w:tcPr>
            <w:tcW w:type="dxa" w:w="1008"/>
            <w:vAlign w:val="center"/>
            <w:shd w:fill="F1F5F9"/>
          </w:tcPr>
          <w:p>
            <w:r>
              <w:t>8</w:t>
            </w:r>
          </w:p>
        </w:tc>
        <w:tc>
          <w:tcPr>
            <w:tcW w:type="dxa" w:w="2160"/>
            <w:vAlign w:val="center"/>
            <w:shd w:fill="F1F5F9"/>
          </w:tcPr>
          <w:p>
            <w:r>
              <w:t>₹3,51,301.00</w:t>
            </w:r>
          </w:p>
        </w:tc>
      </w:tr>
      <w:tr>
        <w:tc>
          <w:tcPr>
            <w:tcW w:type="dxa" w:w="2160"/>
            <w:vAlign w:val="center"/>
          </w:tcPr>
          <w:p>
            <w:r>
              <w:t>701-N</w:t>
            </w:r>
          </w:p>
        </w:tc>
        <w:tc>
          <w:tcPr>
            <w:tcW w:type="dxa" w:w="2448"/>
            <w:vAlign w:val="center"/>
          </w:tcPr>
          <w:p>
            <w:r>
              <w:t>701N</w:t>
            </w:r>
          </w:p>
        </w:tc>
        <w:tc>
          <w:tcPr>
            <w:tcW w:type="dxa" w:w="1008"/>
            <w:vAlign w:val="center"/>
          </w:tcPr>
          <w:p>
            <w:r>
              <w:t>6</w:t>
            </w:r>
          </w:p>
        </w:tc>
        <w:tc>
          <w:tcPr>
            <w:tcW w:type="dxa" w:w="2160"/>
            <w:vAlign w:val="center"/>
          </w:tcPr>
          <w:p>
            <w:r>
              <w:t>₹1,35,148.00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r>
              <w:t>348-K</w:t>
            </w:r>
          </w:p>
        </w:tc>
        <w:tc>
          <w:tcPr>
            <w:tcW w:type="dxa" w:w="2448"/>
            <w:vAlign w:val="center"/>
            <w:shd w:fill="F1F5F9"/>
          </w:tcPr>
          <w:p>
            <w:r>
              <w:t>348K</w:t>
            </w:r>
          </w:p>
        </w:tc>
        <w:tc>
          <w:tcPr>
            <w:tcW w:type="dxa" w:w="1008"/>
            <w:vAlign w:val="center"/>
            <w:shd w:fill="F1F5F9"/>
          </w:tcPr>
          <w:p>
            <w:r>
              <w:t>3</w:t>
            </w:r>
          </w:p>
        </w:tc>
        <w:tc>
          <w:tcPr>
            <w:tcW w:type="dxa" w:w="2160"/>
            <w:vAlign w:val="center"/>
            <w:shd w:fill="F1F5F9"/>
          </w:tcPr>
          <w:p>
            <w:r>
              <w:t>₹48,994.00</w:t>
            </w:r>
          </w:p>
        </w:tc>
      </w:tr>
      <w:tr>
        <w:tc>
          <w:tcPr>
            <w:tcW w:type="dxa" w:w="2160"/>
            <w:vAlign w:val="center"/>
          </w:tcPr>
          <w:p>
            <w:r>
              <w:t>CB-SB-BM03</w:t>
            </w:r>
          </w:p>
        </w:tc>
        <w:tc>
          <w:tcPr>
            <w:tcW w:type="dxa" w:w="2448"/>
            <w:vAlign w:val="center"/>
          </w:tcPr>
          <w:p>
            <w:r>
              <w:t>CB-SB-BM-03</w:t>
            </w:r>
          </w:p>
        </w:tc>
        <w:tc>
          <w:tcPr>
            <w:tcW w:type="dxa" w:w="1008"/>
            <w:vAlign w:val="center"/>
          </w:tcPr>
          <w:p>
            <w:r>
              <w:t>3</w:t>
            </w:r>
          </w:p>
        </w:tc>
        <w:tc>
          <w:tcPr>
            <w:tcW w:type="dxa" w:w="2160"/>
            <w:vAlign w:val="center"/>
          </w:tcPr>
          <w:p>
            <w:r>
              <w:t>₹7,097.00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r>
              <w:t>CB-SB-BM01</w:t>
            </w:r>
          </w:p>
        </w:tc>
        <w:tc>
          <w:tcPr>
            <w:tcW w:type="dxa" w:w="2448"/>
            <w:vAlign w:val="center"/>
            <w:shd w:fill="F1F5F9"/>
          </w:tcPr>
          <w:p>
            <w:r>
              <w:t>CB-SB-BM-01</w:t>
            </w:r>
          </w:p>
        </w:tc>
        <w:tc>
          <w:tcPr>
            <w:tcW w:type="dxa" w:w="1008"/>
            <w:vAlign w:val="center"/>
            <w:shd w:fill="F1F5F9"/>
          </w:tcPr>
          <w:p>
            <w:r>
              <w:t>1</w:t>
            </w:r>
          </w:p>
        </w:tc>
        <w:tc>
          <w:tcPr>
            <w:tcW w:type="dxa" w:w="2160"/>
            <w:vAlign w:val="center"/>
            <w:shd w:fill="F1F5F9"/>
          </w:tcPr>
          <w:p>
            <w:r>
              <w:t>₹283.00</w:t>
            </w:r>
          </w:p>
        </w:tc>
      </w:tr>
      <w:tr>
        <w:tc>
          <w:tcPr>
            <w:tcW w:type="dxa" w:w="2160"/>
            <w:vAlign w:val="center"/>
          </w:tcPr>
          <w:p>
            <w:r>
              <w:t>Total</w:t>
            </w:r>
          </w:p>
        </w:tc>
        <w:tc>
          <w:tcPr>
            <w:tcW w:type="dxa" w:w="2448"/>
            <w:vAlign w:val="center"/>
          </w:tcPr>
          <w:p>
            <w:r>
              <w:t>8 codes</w:t>
            </w:r>
          </w:p>
        </w:tc>
        <w:tc>
          <w:tcPr>
            <w:tcW w:type="dxa" w:w="1008"/>
            <w:vAlign w:val="center"/>
          </w:tcPr>
          <w:p>
            <w:r>
              <w:t>82</w:t>
            </w:r>
          </w:p>
        </w:tc>
        <w:tc>
          <w:tcPr>
            <w:tcW w:type="dxa" w:w="2160"/>
            <w:vAlign w:val="center"/>
          </w:tcPr>
          <w:p>
            <w:r>
              <w:t>₹54,17,245.56</w:t>
            </w:r>
          </w:p>
        </w:tc>
      </w:tr>
    </w:tbl>
    <w:p/>
    <w:p>
      <w:r>
        <w:t>The confirmed 323-K and 324-K pair contributes ₹42,11,408.28. No production code produced an ambiguous hyphen match.</w:t>
      </w:r>
    </w:p>
    <w:p>
      <w:pPr>
        <w:pStyle w:val="Heading1"/>
      </w:pPr>
      <w:r>
        <w:t>2. Updated unresolved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Before P008</w:t>
            </w:r>
          </w:p>
        </w:tc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After P008</w:t>
            </w:r>
          </w:p>
        </w:tc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556"/>
            <w:vAlign w:val="center"/>
          </w:tcPr>
          <w:p>
            <w:r>
              <w:t>Unresolved codes</w:t>
            </w:r>
          </w:p>
        </w:tc>
        <w:tc>
          <w:tcPr>
            <w:tcW w:type="dxa" w:w="2556"/>
            <w:vAlign w:val="center"/>
          </w:tcPr>
          <w:p>
            <w:r>
              <w:t>822</w:t>
            </w:r>
          </w:p>
        </w:tc>
        <w:tc>
          <w:tcPr>
            <w:tcW w:type="dxa" w:w="2556"/>
            <w:vAlign w:val="center"/>
          </w:tcPr>
          <w:p>
            <w:r>
              <w:t>814</w:t>
            </w:r>
          </w:p>
        </w:tc>
        <w:tc>
          <w:tcPr>
            <w:tcW w:type="dxa" w:w="2556"/>
            <w:vAlign w:val="center"/>
          </w:tcPr>
          <w:p>
            <w:r>
              <w:t>−8</w:t>
            </w:r>
          </w:p>
        </w:tc>
      </w:tr>
      <w:tr>
        <w:tc>
          <w:tcPr>
            <w:tcW w:type="dxa" w:w="2556"/>
            <w:vAlign w:val="center"/>
            <w:shd w:fill="F1F5F9"/>
          </w:tcPr>
          <w:p>
            <w:r>
              <w:t>Unresolved value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₹9,90,25,083.27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₹9,36,07,837.71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−₹54,17,245.56</w:t>
            </w:r>
          </w:p>
        </w:tc>
      </w:tr>
    </w:tbl>
    <w:p/>
    <w:p>
      <w:pPr>
        <w:pStyle w:val="Heading1"/>
      </w:pPr>
      <w:r>
        <w:t>3. Updated resolution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Resolution rule</w:t>
            </w:r>
          </w:p>
        </w:tc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Distinct codes</w:t>
            </w:r>
          </w:p>
        </w:tc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408"/>
            <w:vAlign w:val="center"/>
          </w:tcPr>
          <w:p>
            <w:r>
              <w:t>Exact</w:t>
            </w:r>
          </w:p>
        </w:tc>
        <w:tc>
          <w:tcPr>
            <w:tcW w:type="dxa" w:w="3408"/>
            <w:vAlign w:val="center"/>
          </w:tcPr>
          <w:p>
            <w:r>
              <w:t>3,159</w:t>
            </w:r>
          </w:p>
        </w:tc>
        <w:tc>
          <w:tcPr>
            <w:tcW w:type="dxa" w:w="3408"/>
            <w:vAlign w:val="center"/>
          </w:tcPr>
          <w:p>
            <w:r>
              <w:t>₹126,35,71,193.50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Leading-P removal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19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₹72,80,208.83</w:t>
            </w:r>
          </w:p>
        </w:tc>
      </w:tr>
      <w:tr>
        <w:tc>
          <w:tcPr>
            <w:tcW w:type="dxa" w:w="3408"/>
            <w:vAlign w:val="center"/>
          </w:tcPr>
          <w:p>
            <w:r>
              <w:t>Colour-suffix removal</w:t>
            </w:r>
          </w:p>
        </w:tc>
        <w:tc>
          <w:tcPr>
            <w:tcW w:type="dxa" w:w="3408"/>
            <w:vAlign w:val="center"/>
          </w:tcPr>
          <w:p>
            <w:r>
              <w:t>23</w:t>
            </w:r>
          </w:p>
        </w:tc>
        <w:tc>
          <w:tcPr>
            <w:tcW w:type="dxa" w:w="3408"/>
            <w:vAlign w:val="center"/>
          </w:tcPr>
          <w:p>
            <w:r>
              <w:t>₹28,74,964.49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Whitespace normalisation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4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₹37,627.00</w:t>
            </w:r>
          </w:p>
        </w:tc>
      </w:tr>
      <w:tr>
        <w:tc>
          <w:tcPr>
            <w:tcW w:type="dxa" w:w="3408"/>
            <w:vAlign w:val="center"/>
          </w:tcPr>
          <w:p>
            <w:r>
              <w:t>Hyphen removal</w:t>
            </w:r>
          </w:p>
        </w:tc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₹54,17,245.56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Ambiguous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0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₹0</w:t>
            </w:r>
          </w:p>
        </w:tc>
      </w:tr>
      <w:tr>
        <w:tc>
          <w:tcPr>
            <w:tcW w:type="dxa" w:w="3408"/>
            <w:vAlign w:val="center"/>
          </w:tcPr>
          <w:p>
            <w:r>
              <w:t>Unresolved</w:t>
            </w:r>
          </w:p>
        </w:tc>
        <w:tc>
          <w:tcPr>
            <w:tcW w:type="dxa" w:w="3408"/>
            <w:vAlign w:val="center"/>
          </w:tcPr>
          <w:p>
            <w:r>
              <w:t>814</w:t>
            </w:r>
          </w:p>
        </w:tc>
        <w:tc>
          <w:tcPr>
            <w:tcW w:type="dxa" w:w="3408"/>
            <w:vAlign w:val="center"/>
          </w:tcPr>
          <w:p>
            <w:r>
              <w:t>₹9,36,07,837.71</w:t>
            </w:r>
          </w:p>
        </w:tc>
      </w:tr>
    </w:tbl>
    <w:p/>
    <w:p>
      <w:r>
        <w:t>The trace reports hyphen for direct matches and can report [whitespace, hyphen] when both transformations are required.</w:t>
      </w:r>
    </w:p>
    <w:p>
      <w:pPr>
        <w:pStyle w:val="Heading1"/>
      </w:pPr>
      <w:r>
        <w:t>4. Products that gained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Gained</w:t>
            </w:r>
          </w:p>
        </w:tc>
        <w:tc>
          <w:tcPr>
            <w:tcW w:type="dxa" w:w="2556"/>
            <w:shd w:fill="174A5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56"/>
            <w:vAlign w:val="center"/>
          </w:tcPr>
          <w:p>
            <w:r>
              <w:t>324K</w:t>
            </w:r>
          </w:p>
        </w:tc>
        <w:tc>
          <w:tcPr>
            <w:tcW w:type="dxa" w:w="2556"/>
            <w:vAlign w:val="center"/>
          </w:tcPr>
          <w:p>
            <w:r>
              <w:t>₹0</w:t>
            </w:r>
          </w:p>
        </w:tc>
        <w:tc>
          <w:tcPr>
            <w:tcW w:type="dxa" w:w="2556"/>
            <w:vAlign w:val="center"/>
          </w:tcPr>
          <w:p>
            <w:r>
              <w:t>₹23,88,409.96</w:t>
            </w:r>
          </w:p>
        </w:tc>
        <w:tc>
          <w:tcPr>
            <w:tcW w:type="dxa" w:w="2556"/>
            <w:vAlign w:val="center"/>
          </w:tcPr>
          <w:p>
            <w:r>
              <w:t>₹23,88,409.96</w:t>
            </w:r>
          </w:p>
        </w:tc>
      </w:tr>
      <w:tr>
        <w:tc>
          <w:tcPr>
            <w:tcW w:type="dxa" w:w="2556"/>
            <w:vAlign w:val="center"/>
            <w:shd w:fill="F1F5F9"/>
          </w:tcPr>
          <w:p>
            <w:r>
              <w:t>323K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₹0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₹18,22,998.32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₹18,22,998.32</w:t>
            </w:r>
          </w:p>
        </w:tc>
      </w:tr>
      <w:tr>
        <w:tc>
          <w:tcPr>
            <w:tcW w:type="dxa" w:w="2556"/>
            <w:vAlign w:val="center"/>
          </w:tcPr>
          <w:p>
            <w:r>
              <w:t>326K</w:t>
            </w:r>
          </w:p>
        </w:tc>
        <w:tc>
          <w:tcPr>
            <w:tcW w:type="dxa" w:w="2556"/>
            <w:vAlign w:val="center"/>
          </w:tcPr>
          <w:p>
            <w:r>
              <w:t>₹0</w:t>
            </w:r>
          </w:p>
        </w:tc>
        <w:tc>
          <w:tcPr>
            <w:tcW w:type="dxa" w:w="2556"/>
            <w:vAlign w:val="center"/>
          </w:tcPr>
          <w:p>
            <w:r>
              <w:t>₹6,63,014.28</w:t>
            </w:r>
          </w:p>
        </w:tc>
        <w:tc>
          <w:tcPr>
            <w:tcW w:type="dxa" w:w="2556"/>
            <w:vAlign w:val="center"/>
          </w:tcPr>
          <w:p>
            <w:r>
              <w:t>₹6,63,014.28</w:t>
            </w:r>
          </w:p>
        </w:tc>
      </w:tr>
      <w:tr>
        <w:tc>
          <w:tcPr>
            <w:tcW w:type="dxa" w:w="2556"/>
            <w:vAlign w:val="center"/>
            <w:shd w:fill="F1F5F9"/>
          </w:tcPr>
          <w:p>
            <w:r>
              <w:t>325K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₹0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₹3,51,301.00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₹3,51,301.00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701N</w:t>
            </w:r>
          </w:p>
        </w:tc>
        <w:tc>
          <w:tcPr>
            <w:tcW w:type="dxa" w:w="2556"/>
            <w:vAlign w:val="center"/>
          </w:tcPr>
          <w:p>
            <w:r>
              <w:t>₹0</w:t>
            </w:r>
          </w:p>
        </w:tc>
        <w:tc>
          <w:tcPr>
            <w:tcW w:type="dxa" w:w="2556"/>
            <w:vAlign w:val="center"/>
          </w:tcPr>
          <w:p>
            <w:r>
              <w:t>₹1,35,148.00</w:t>
            </w:r>
          </w:p>
        </w:tc>
        <w:tc>
          <w:tcPr>
            <w:tcW w:type="dxa" w:w="2556"/>
            <w:vAlign w:val="center"/>
          </w:tcPr>
          <w:p>
            <w:r>
              <w:t>₹1,35,148.00</w:t>
            </w:r>
          </w:p>
        </w:tc>
      </w:tr>
      <w:tr>
        <w:tc>
          <w:tcPr>
            <w:tcW w:type="dxa" w:w="2556"/>
            <w:vAlign w:val="center"/>
            <w:shd w:fill="F1F5F9"/>
          </w:tcPr>
          <w:p>
            <w:r>
              <w:t>348K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₹0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₹48,994.00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₹48,994.00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CB-SB-BM-03</w:t>
            </w:r>
          </w:p>
        </w:tc>
        <w:tc>
          <w:tcPr>
            <w:tcW w:type="dxa" w:w="2556"/>
            <w:vAlign w:val="center"/>
          </w:tcPr>
          <w:p>
            <w:r>
              <w:t>₹0</w:t>
            </w:r>
          </w:p>
        </w:tc>
        <w:tc>
          <w:tcPr>
            <w:tcW w:type="dxa" w:w="2556"/>
            <w:vAlign w:val="center"/>
          </w:tcPr>
          <w:p>
            <w:r>
              <w:t>₹7,097.00</w:t>
            </w:r>
          </w:p>
        </w:tc>
        <w:tc>
          <w:tcPr>
            <w:tcW w:type="dxa" w:w="2556"/>
            <w:vAlign w:val="center"/>
          </w:tcPr>
          <w:p>
            <w:r>
              <w:t>₹7,097.00</w:t>
            </w:r>
          </w:p>
        </w:tc>
      </w:tr>
      <w:tr>
        <w:tc>
          <w:tcPr>
            <w:tcW w:type="dxa" w:w="2556"/>
            <w:vAlign w:val="center"/>
            <w:shd w:fill="F1F5F9"/>
          </w:tcPr>
          <w:p>
            <w:r>
              <w:t>CB-SB-BM-01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₹0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₹283.00</w:t>
            </w:r>
          </w:p>
        </w:tc>
        <w:tc>
          <w:tcPr>
            <w:tcW w:type="dxa" w:w="2556"/>
            <w:vAlign w:val="center"/>
            <w:shd w:fill="F1F5F9"/>
          </w:tcPr>
          <w:p>
            <w:r>
              <w:t>₹283.00</w:t>
            </w:r>
          </w:p>
        </w:tc>
      </w:tr>
    </w:tbl>
    <w:p/>
    <w:p>
      <w:r>
        <w:t>These are resolver-attributed product figures. The change reattributes existing transactions; it does not add or remove sales.</w:t>
      </w:r>
    </w:p>
    <w:p>
      <w:pPr>
        <w:pStyle w:val="Heading1"/>
      </w:pPr>
      <w:r>
        <w:t>5. One-edit candidates for confirmation</w:t>
      </w:r>
    </w:p>
    <w:p>
      <w:pPr>
        <w:pStyle w:val="Heading2"/>
      </w:pPr>
      <w:r>
        <w:t>Unique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Unresolved code</w:t>
            </w:r>
          </w:p>
        </w:tc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Candidate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WCT-3LL-10</w:t>
            </w:r>
          </w:p>
        </w:tc>
        <w:tc>
          <w:tcPr>
            <w:tcW w:type="dxa" w:w="3408"/>
            <w:vAlign w:val="center"/>
          </w:tcPr>
          <w:p>
            <w:r>
              <w:t>₹51,01,996.48</w:t>
            </w:r>
          </w:p>
        </w:tc>
        <w:tc>
          <w:tcPr>
            <w:tcW w:type="dxa" w:w="3408"/>
            <w:vAlign w:val="center"/>
          </w:tcPr>
          <w:p>
            <w:r>
              <w:t>WT-3LL-10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WCT-3LL-05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₹43,73,985.55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WT-3LL-05</w:t>
            </w:r>
          </w:p>
        </w:tc>
      </w:tr>
      <w:tr>
        <w:tc>
          <w:tcPr>
            <w:tcW w:type="dxa" w:w="3408"/>
            <w:vAlign w:val="center"/>
          </w:tcPr>
          <w:p>
            <w:r>
              <w:t>WCT-3LL-07</w:t>
            </w:r>
          </w:p>
        </w:tc>
        <w:tc>
          <w:tcPr>
            <w:tcW w:type="dxa" w:w="3408"/>
            <w:vAlign w:val="center"/>
          </w:tcPr>
          <w:p>
            <w:r>
              <w:t>₹22,96,889.00</w:t>
            </w:r>
          </w:p>
        </w:tc>
        <w:tc>
          <w:tcPr>
            <w:tcW w:type="dxa" w:w="3408"/>
            <w:vAlign w:val="center"/>
          </w:tcPr>
          <w:p>
            <w:r>
              <w:t>WT-3LL-07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PSS-5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₹14,86,605.05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PS-5</w:t>
            </w:r>
          </w:p>
        </w:tc>
      </w:tr>
    </w:tbl>
    <w:p/>
    <w:p>
      <w:r>
        <w:t>These require Prayag confirmation. They were not automatically matched.</w:t>
      </w:r>
    </w:p>
    <w:p>
      <w:pPr>
        <w:pStyle w:val="Heading2"/>
      </w:pPr>
      <w:r>
        <w:t>Multiple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Unresolved code</w:t>
            </w:r>
          </w:p>
        </w:tc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408"/>
            <w:shd w:fill="174A5B"/>
          </w:tcPr>
          <w:p>
            <w:r>
              <w:rPr>
                <w:b/>
                <w:color w:val="FFFFFF"/>
              </w:rPr>
              <w:t>Candidates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824XD</w:t>
            </w:r>
          </w:p>
        </w:tc>
        <w:tc>
          <w:tcPr>
            <w:tcW w:type="dxa" w:w="3408"/>
            <w:vAlign w:val="center"/>
          </w:tcPr>
          <w:p>
            <w:r>
              <w:t>₹60,77,680.61</w:t>
            </w:r>
          </w:p>
        </w:tc>
        <w:tc>
          <w:tcPr>
            <w:tcW w:type="dxa" w:w="3408"/>
            <w:vAlign w:val="center"/>
          </w:tcPr>
          <w:p>
            <w:r>
              <w:t>824-D; 824-XD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924XD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₹22,30,370.21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924-D; 924-XD</w:t>
            </w:r>
          </w:p>
        </w:tc>
      </w:tr>
      <w:tr>
        <w:tc>
          <w:tcPr>
            <w:tcW w:type="dxa" w:w="3408"/>
            <w:vAlign w:val="center"/>
          </w:tcPr>
          <w:p>
            <w:r>
              <w:t>824SD</w:t>
            </w:r>
          </w:p>
        </w:tc>
        <w:tc>
          <w:tcPr>
            <w:tcW w:type="dxa" w:w="3408"/>
            <w:vAlign w:val="center"/>
          </w:tcPr>
          <w:p>
            <w:r>
              <w:t>₹11,45,900.48</w:t>
            </w:r>
          </w:p>
        </w:tc>
        <w:tc>
          <w:tcPr>
            <w:tcW w:type="dxa" w:w="3408"/>
            <w:vAlign w:val="center"/>
          </w:tcPr>
          <w:p>
            <w:r>
              <w:t>824-D; 824-SD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HD140B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₹26,45,989.03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14 nearby HD140* codes</w:t>
            </w:r>
          </w:p>
        </w:tc>
      </w:tr>
      <w:tr>
        <w:tc>
          <w:tcPr>
            <w:tcW w:type="dxa" w:w="3408"/>
            <w:vAlign w:val="center"/>
          </w:tcPr>
          <w:p>
            <w:r>
              <w:t>HD160B</w:t>
            </w:r>
          </w:p>
        </w:tc>
        <w:tc>
          <w:tcPr>
            <w:tcW w:type="dxa" w:w="3408"/>
            <w:vAlign w:val="center"/>
          </w:tcPr>
          <w:p>
            <w:r>
              <w:t>₹19,81,923.77</w:t>
            </w:r>
          </w:p>
        </w:tc>
        <w:tc>
          <w:tcPr>
            <w:tcW w:type="dxa" w:w="3408"/>
            <w:vAlign w:val="center"/>
          </w:tcPr>
          <w:p>
            <w:r>
              <w:t>14 nearby HD160* codes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r>
              <w:t>HD200B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₹9,05,772.23</w:t>
            </w:r>
          </w:p>
        </w:tc>
        <w:tc>
          <w:tcPr>
            <w:tcW w:type="dxa" w:w="3408"/>
            <w:vAlign w:val="center"/>
            <w:shd w:fill="F1F5F9"/>
          </w:tcPr>
          <w:p>
            <w:r>
              <w:t>14 nearby HD200* codes</w:t>
            </w:r>
          </w:p>
        </w:tc>
      </w:tr>
    </w:tbl>
    <w:p/>
    <w:p>
      <w:r>
        <w:t>These are ambiguous and must not be auto-matched.</w:t>
      </w:r>
    </w:p>
    <w:p>
      <w:pPr>
        <w:pStyle w:val="Heading2"/>
      </w:pPr>
      <w:r>
        <w:t>No one-character candidate in the remaining top twenty</w:t>
      </w:r>
    </w:p>
    <w:p>
      <w:r>
        <w:t>Q724MB; WT-4LWP-07; PIS-06; PTA-49; WT-4LWP-10; 513-EWC; BR364TG; PTA-48; PTA-54; 9380-N.</w:t>
      </w:r>
    </w:p>
    <w:p>
      <w:pPr>
        <w:pStyle w:val="Heading1"/>
      </w:pPr>
      <w:r>
        <w:t>6. FY2025-26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4A5B"/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5112"/>
            <w:shd w:fill="174A5B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Rows</w:t>
            </w:r>
          </w:p>
        </w:tc>
        <w:tc>
          <w:tcPr>
            <w:tcW w:type="dxa" w:w="5112"/>
            <w:vAlign w:val="center"/>
          </w:tcPr>
          <w:p>
            <w:r>
              <w:t>145,613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r>
              <w:t>Sales value</w:t>
            </w:r>
          </w:p>
        </w:tc>
        <w:tc>
          <w:tcPr>
            <w:tcW w:type="dxa" w:w="5112"/>
            <w:vAlign w:val="center"/>
            <w:shd w:fill="F1F5F9"/>
          </w:tcPr>
          <w:p>
            <w:r>
              <w:t>₹3,60,99,53,808.51</w:t>
            </w:r>
          </w:p>
        </w:tc>
      </w:tr>
    </w:tbl>
    <w:p/>
    <w:p>
      <w:pPr>
        <w:pStyle w:val="Heading1"/>
      </w:pPr>
      <w:r>
        <w:t>7. Verification and implementation</w:t>
      </w:r>
    </w:p>
    <w:p>
      <w:pPr>
        <w:pStyle w:val="ListBullet"/>
      </w:pPr>
      <w:r>
        <w:t>Resolver tests: 19 passed.</w:t>
      </w:r>
    </w:p>
    <w:p>
      <w:pPr>
        <w:pStyle w:val="ListBullet"/>
      </w:pPr>
      <w:r>
        <w:t>Synthetic collision test confirms ambiguous de-hyphenated matches are rejected.</w:t>
      </w:r>
    </w:p>
    <w:p>
      <w:pPr>
        <w:pStyle w:val="ListBullet"/>
      </w:pPr>
      <w:r>
        <w:t>Existing exact, leading-P, colour-suffix and whitespace methods remain unchanged.</w:t>
      </w:r>
    </w:p>
    <w:p>
      <w:pPr>
        <w:pStyle w:val="ListBullet"/>
      </w:pPr>
      <w:r>
        <w:t>Full workspace typecheck passed.</w:t>
      </w:r>
    </w:p>
    <w:p>
      <w:pPr>
        <w:pStyle w:val="ListBullet"/>
      </w:pPr>
      <w:r>
        <w:t>API rebuilt and restarted successfully.</w:t>
      </w:r>
    </w:p>
    <w:p>
      <w:pPr>
        <w:pStyle w:val="ListBullet"/>
      </w:pPr>
      <w:r>
        <w:t>No sales or catalogue records were modified.</w:t>
      </w:r>
    </w:p>
    <w:p>
      <w:r>
        <w:rPr>
          <w:b/>
        </w:rPr>
        <w:t xml:space="preserve">Behavior and tests commit: </w:t>
      </w:r>
      <w:r>
        <w:t>44762a33d6407180fb14f3d8adb46ad910cc5baf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