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Prayag India Sales Intelligence</w:t>
      </w:r>
    </w:p>
    <w:p>
      <w:pPr>
        <w:spacing w:after="200"/>
      </w:pPr>
      <w:r>
        <w:rPr>
          <w:rFonts w:ascii="Calibri" w:cs="Calibri" w:eastAsia="Calibri" w:hAnsi="Calibri"/>
          <w:color w:val="2F5496"/>
          <w:sz w:val="36"/>
          <w:szCs w:val="36"/>
        </w:rPr>
        <w:t xml:space="preserve">Business Logic, Terms &amp; Calculation Reference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Generated July 2026 | Confidential — Internal Use Only</w:t>
      </w:r>
    </w:p>
    <w:p>
      <w:r>
        <w:br w:type="page"/>
      </w:r>
    </w:p>
    <w:p>
      <w:pPr>
        <w:pStyle w:val="Heading1"/>
        <w:shd w:fill="1F3864" w:color="1F3864" w:val="solid"/>
        <w:spacing w:after="120" w:before="320"/>
      </w:pPr>
      <w:r>
        <w:rPr>
          <w:b/>
          <w:bCs/>
          <w:color w:val="FFFFFF"/>
          <w:sz w:val="28"/>
          <w:szCs w:val="28"/>
        </w:rPr>
        <w:t xml:space="preserve">1. Business Terms Glossary</w:t>
      </w:r>
    </w:p>
    <w:p>
      <w:pPr>
        <w:spacing w:after="80"/>
      </w:pPr>
      <w:r>
        <w:rPr>
          <w:sz w:val="20"/>
          <w:szCs w:val="20"/>
        </w:rPr>
        <w:t xml:space="preserve">All terms as used in the Prayag India Sales Intelligence system. These definitions are non-negotiable; deviating from them will produce wrong numbers.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1.1 Fiscal Year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Fiscal Year (FY): </w:t>
      </w:r>
      <w:r>
        <w:rPr>
          <w:sz w:val="20"/>
          <w:szCs w:val="20"/>
        </w:rPr>
        <w:t xml:space="preserve">April 1 through March 31. Labelled "YYYY-YY" (e.g. 2026-27 = Apr 2026 – Mar 2027).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Month Label: </w:t>
      </w:r>
      <w:r>
        <w:rPr>
          <w:sz w:val="20"/>
          <w:szCs w:val="20"/>
        </w:rPr>
        <w:t xml:space="preserve">Three-letter month abbreviation + 2-digit year, e.g. "Apr-26", "Mar-27". Derived from invoice_date or the FY column in the source register.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FY Index: </w:t>
      </w:r>
      <w:r>
        <w:rPr>
          <w:sz w:val="20"/>
          <w:szCs w:val="20"/>
        </w:rPr>
        <w:t xml:space="preserve">Fiscal-order position of a month: Apr=0, May=1, Jun=2, ..., Mar=11.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1.2 Sales Channels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Territory (Primary): </w:t>
      </w:r>
      <w:r>
        <w:rPr>
          <w:sz w:val="20"/>
          <w:szCs w:val="20"/>
        </w:rPr>
        <w:t xml:space="preserve">Direct distributor-to-retailer sales in Prayag's own geographic territories. is_territory = true in sale_line.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Institutional (Primary): </w:t>
      </w:r>
      <w:r>
        <w:rPr>
          <w:sz w:val="20"/>
          <w:szCs w:val="20"/>
        </w:rPr>
        <w:t xml:space="preserve">Government, institutional, or project-based sales. is_territory = false.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Secondary Sales: </w:t>
      </w:r>
      <w:r>
        <w:rPr>
          <w:sz w:val="20"/>
          <w:szCs w:val="20"/>
        </w:rPr>
        <w:t xml:space="preserve">Distributor-to-retailer (secondary channel). Stored in secondary_register_line. NEVER summed with primary sale_line.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Direct Dealer (DD): </w:t>
      </w:r>
      <w:r>
        <w:rPr>
          <w:sz w:val="20"/>
          <w:szCs w:val="20"/>
        </w:rPr>
        <w:t xml:space="preserve">Customers who buy directly from the company without going through a distributor. Order value tracked separately from retailer/party OB.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1.3 Performance Metrics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Order Booking (OB): </w:t>
      </w:r>
      <w:r>
        <w:rPr>
          <w:sz w:val="20"/>
          <w:szCs w:val="20"/>
        </w:rPr>
        <w:t xml:space="preserve">Secondary OB = retailer/party orders placed with distributors. NET = Sub Total (never Order Total). Source: STATE HEAD DASHBOARD Order Booking monthly tabs.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Direct Dealer Order: </w:t>
      </w:r>
      <w:r>
        <w:rPr>
          <w:sz w:val="20"/>
          <w:szCs w:val="20"/>
        </w:rPr>
        <w:t xml:space="preserve">Primary order booking from direct dealers. Kept separate from retailer OB; never blended in the headline OB figure.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Sales Received: </w:t>
      </w:r>
      <w:r>
        <w:rPr>
          <w:sz w:val="20"/>
          <w:szCs w:val="20"/>
        </w:rPr>
        <w:t xml:space="preserve">YTD sales received (dispatched primary; delivered secondary). For primary: from sale_line. For secondary: received_amount in secondary_head_month.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Plan / Target: </w:t>
      </w:r>
      <w:r>
        <w:rPr>
          <w:sz w:val="20"/>
          <w:szCs w:val="20"/>
        </w:rPr>
        <w:t xml:space="preserve">Secondary target per member per month. Source: STATE HEAD DASHBOARD Data tab (column H) and Prayag Target Master Google Sheet. Read-only; no writes.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Total Target to Date (TTD): </w:t>
      </w:r>
      <w:r>
        <w:rPr>
          <w:sz w:val="20"/>
          <w:szCs w:val="20"/>
        </w:rPr>
        <w:t xml:space="preserve">YTD cumulative target = Data tab column BM. Includes both secondary and primary direct-dealer targets.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Monthly Target: </w:t>
      </w:r>
      <w:r>
        <w:rPr>
          <w:sz w:val="20"/>
          <w:szCs w:val="20"/>
        </w:rPr>
        <w:t xml:space="preserve">Data tab column BE. Covers secondary + primary direct-dealer combined.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Primary Target (monthly): </w:t>
      </w:r>
      <w:r>
        <w:rPr>
          <w:sz w:val="20"/>
          <w:szCs w:val="20"/>
        </w:rPr>
        <w:t xml:space="preserve">Data tab column BK. Direct-dealer primary portion only.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Secondary Target (monthly): </w:t>
      </w:r>
      <w:r>
        <w:rPr>
          <w:sz w:val="20"/>
          <w:szCs w:val="20"/>
        </w:rPr>
        <w:t xml:space="preserve">Derived = monthlyTarget - primaryTargetMonthly.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Elapsed Months: </w:t>
      </w:r>
      <w:r>
        <w:rPr>
          <w:sz w:val="20"/>
          <w:szCs w:val="20"/>
        </w:rPr>
        <w:t xml:space="preserve">Derived: round(totalTargetToDate / monthlyTarget). Tells how many monthly targets have been issued YTD.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1.4 Achievement Ratios</w:t>
      </w:r>
    </w:p>
    <w:p>
      <w:pPr>
        <w:spacing w:after="80"/>
      </w:pPr>
      <w:r>
        <w:rPr>
          <w:b/>
          <w:bCs/>
          <w:color w:val="C00000"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Achievement is ALWAYS recomputed from raw values. Never read from a percentage cell in any sheet.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Achievement (Secondary): </w:t>
      </w:r>
      <w:r>
        <w:rPr>
          <w:sz w:val="20"/>
          <w:szCs w:val="20"/>
        </w:rPr>
        <w:t xml:space="preserve">orderBooking / secondaryTarget. Null when secondaryTarget = 0.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Achievement (Direct Dealer): </w:t>
      </w:r>
      <w:r>
        <w:rPr>
          <w:sz w:val="20"/>
          <w:szCs w:val="20"/>
        </w:rPr>
        <w:t xml:space="preserve">directDealersOrder / primaryTarget. Null when primaryTarget = 0.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Achievement (Total OB): </w:t>
      </w:r>
      <w:r>
        <w:rPr>
          <w:sz w:val="20"/>
          <w:szCs w:val="20"/>
        </w:rPr>
        <w:t xml:space="preserve">(orderBooking + directDealersOrder) / totalTargetToDate.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Achievement (Sale): </w:t>
      </w:r>
      <w:r>
        <w:rPr>
          <w:sz w:val="20"/>
          <w:szCs w:val="20"/>
        </w:rPr>
        <w:t xml:space="preserve">sale / totalTargetToDate. This is the headline achievement used for rankings.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1.5 Retailer Metrics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Total Retailers: </w:t>
      </w:r>
      <w:r>
        <w:rPr>
          <w:sz w:val="20"/>
          <w:szCs w:val="20"/>
        </w:rPr>
        <w:t xml:space="preserve">All retailer accounts on the member's roster (old + new).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Old Retailers: </w:t>
      </w:r>
      <w:r>
        <w:rPr>
          <w:sz w:val="20"/>
          <w:szCs w:val="20"/>
        </w:rPr>
        <w:t xml:space="preserve">Retailers present in the prior period.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Visited Retailers: </w:t>
      </w:r>
      <w:r>
        <w:rPr>
          <w:sz w:val="20"/>
          <w:szCs w:val="20"/>
        </w:rPr>
        <w:t xml:space="preserve">Retailers visited by the TM in the current period.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Non-Visited Retailers: </w:t>
      </w:r>
      <w:r>
        <w:rPr>
          <w:sz w:val="20"/>
          <w:szCs w:val="20"/>
        </w:rPr>
        <w:t xml:space="preserve">Total Retailers - Visited Retailers.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Active Retailers ("Cost per order"): </w:t>
      </w:r>
      <w:r>
        <w:rPr>
          <w:sz w:val="20"/>
          <w:szCs w:val="20"/>
        </w:rPr>
        <w:t xml:space="preserve">Retailers who placed at least one order in the current period.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New Party Order Booking: </w:t>
      </w:r>
      <w:r>
        <w:rPr>
          <w:sz w:val="20"/>
          <w:szCs w:val="20"/>
        </w:rPr>
        <w:t xml:space="preserve">OB from new retailers (not in prior period roster).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Business per Retailer: </w:t>
      </w:r>
      <w:r>
        <w:rPr>
          <w:sz w:val="20"/>
          <w:szCs w:val="20"/>
        </w:rPr>
        <w:t xml:space="preserve">OB / Total Retailers.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HHI (Herfindahl-Hirschman Index): </w:t>
      </w:r>
      <w:r>
        <w:rPr>
          <w:sz w:val="20"/>
          <w:szCs w:val="20"/>
        </w:rPr>
        <w:t xml:space="preserve">Market concentration metric: sum of squared revenue-share fractions across distributors. Range 0–10000. HHI = 10000 means one distributor holds 100% of business.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Effective Retailers (Concentration): </w:t>
      </w:r>
      <w:r>
        <w:rPr>
          <w:sz w:val="20"/>
          <w:szCs w:val="20"/>
        </w:rPr>
        <w:t xml:space="preserve">10000 / HHI. The equivalent number of equal-sized distributors that would produce the same HHI. Higher = more diversified.</w:t>
      </w:r>
    </w:p>
    <w:p>
      <w:pPr>
        <w:pStyle w:val="Heading1"/>
        <w:shd w:fill="1F3864" w:color="1F3864" w:val="solid"/>
        <w:spacing w:after="120" w:before="320"/>
      </w:pPr>
      <w:r>
        <w:rPr>
          <w:b/>
          <w:bCs/>
          <w:color w:val="FFFFFF"/>
          <w:sz w:val="28"/>
          <w:szCs w:val="28"/>
        </w:rPr>
        <w:t xml:space="preserve">2. Complete Month Definition</w:t>
      </w:r>
    </w:p>
    <w:p>
      <w:pPr>
        <w:spacing w:after="80"/>
      </w:pPr>
      <w:r>
        <w:rPr>
          <w:sz w:val="20"/>
          <w:szCs w:val="20"/>
        </w:rPr>
        <w:t xml:space="preserve">The "complete month" concept gates all YoY analytics, run-rate projections, and period-based reporting. It has two branches: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2.1 When invoice_date is present</w:t>
      </w:r>
    </w:p>
    <w:p>
      <w:pPr>
        <w:spacing w:after="80"/>
      </w:pPr>
      <w:r>
        <w:rPr>
          <w:sz w:val="20"/>
          <w:szCs w:val="20"/>
        </w:rPr>
        <w:t xml:space="preserve">A month is complete when the maximum invoice_date for that month reaches the last calendar day of the month.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isComplete = max(invoice_date for month) &gt;= lastDayOfMonth(monthLabel)</w:t>
      </w:r>
    </w:p>
    <w:p>
      <w:pPr>
        <w:spacing w:after="80"/>
      </w:pPr>
      <w:r>
        <w:rPr>
          <w:sz w:val="20"/>
          <w:szCs w:val="20"/>
        </w:rPr>
        <w:t xml:space="preserve">Example: For "Jun-26", the last calendar day is 2026-06-30. If max(invoice_date) = 2026-06-30, June is complete.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2.2 When invoice_date is null (historical FYs)</w:t>
      </w:r>
    </w:p>
    <w:p>
      <w:pPr>
        <w:spacing w:after="80"/>
      </w:pPr>
      <w:r>
        <w:rPr>
          <w:sz w:val="20"/>
          <w:szCs w:val="20"/>
        </w:rPr>
        <w:t xml:space="preserve">Historical FY registers (FY2024-25 and earlier on Sheets) have no per-invoice DATE column, so every row has invoice_date = null. In this case, completeness falls back to the calendar: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isComplete = now &gt;= firstMomentOfNextMonth(monthLabel)</w:t>
      </w:r>
    </w:p>
    <w:p>
      <w:pPr>
        <w:spacing w:after="80"/>
      </w:pPr>
      <w:r>
        <w:rPr>
          <w:sz w:val="20"/>
          <w:szCs w:val="20"/>
        </w:rPr>
        <w:t xml:space="preserve">A month is complete once the entire last day has elapsed (i.e., we are at or past midnight at the start of the next month in UTC).</w:t>
      </w:r>
    </w:p>
    <w:p>
      <w:pPr>
        <w:spacing w:after="80"/>
      </w:pPr>
      <w:r>
        <w:rPr>
          <w:b/>
          <w:bCs/>
          <w:color w:val="C00000"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Never treat a null-date month as incomplete during analytics if the calendar month has fully elapsed. Do not discard valid historical data.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2.3 Practical implication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Only complete months enter YoY comparisons, trend charts, and run-rate projections.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Partial months (current month in progress) are displayed as a separate visual indicator but excluded from growth calculations.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The set of complete months for primary and secondary data must be identical when shown side-by-side (label-set intersection, not separate determinations).</w:t>
      </w:r>
    </w:p>
    <w:p>
      <w:pPr>
        <w:pStyle w:val="Heading1"/>
        <w:shd w:fill="1F3864" w:color="1F3864" w:val="solid"/>
        <w:spacing w:after="120" w:before="320"/>
      </w:pPr>
      <w:r>
        <w:rPr>
          <w:b/>
          <w:bCs/>
          <w:color w:val="FFFFFF"/>
          <w:sz w:val="28"/>
          <w:szCs w:val="28"/>
        </w:rPr>
        <w:t xml:space="preserve">3. ROI &amp; Cost Calculations</w:t>
      </w:r>
    </w:p>
    <w:p>
      <w:pPr>
        <w:spacing w:after="80"/>
      </w:pPr>
      <w:r>
        <w:rPr>
          <w:sz w:val="20"/>
          <w:szCs w:val="20"/>
        </w:rPr>
        <w:t xml:space="preserve">Computed in roiCost.ts. This is pure calculation — no Sheets reads occur here.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3.1 Cost Components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CTC Monthly: </w:t>
      </w:r>
      <w:r>
        <w:rPr>
          <w:sz w:val="20"/>
          <w:szCs w:val="20"/>
        </w:rPr>
        <w:t xml:space="preserve">Monthly salary cost per TM. Source: Data tab CTC column.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T.A. Bill (YTD): </w:t>
      </w:r>
      <w:r>
        <w:rPr>
          <w:sz w:val="20"/>
          <w:szCs w:val="20"/>
        </w:rPr>
        <w:t xml:space="preserve">Travel allowance + station cost, already cumulative YTD. Source: Data tab T.A. Bill column.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Elapsed Complete Months: </w:t>
      </w:r>
      <w:r>
        <w:rPr>
          <w:sz w:val="20"/>
          <w:szCs w:val="20"/>
        </w:rPr>
        <w:t xml:space="preserve">Number of complete fiscal months from April 1 to today. Example: on July 23, Apr/May/Jun = 3 (July in progress, not counted).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ctcCostYtd   = ctcMonthly × elapsedCompleteMonths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totalCost    = ctcCostYtd + taBillYtd</w:t>
      </w:r>
    </w:p>
    <w:p>
      <w:pPr>
        <w:spacing w:after="80"/>
      </w:pPr>
      <w:r>
        <w:rPr>
          <w:b/>
          <w:bCs/>
          <w:color w:val="C00000"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taBillYtd is already cumulative. Never multiply it by elapsedCompleteMonths.</w:t>
      </w:r>
    </w:p>
    <w:p>
      <w:pPr>
        <w:spacing w:after="80"/>
      </w:pPr>
      <w:r>
        <w:rPr>
          <w:b/>
          <w:bCs/>
          <w:color w:val="C00000"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CTC alone is insufficient for ROI. If ctcMonthly is null, all ROI metrics return null.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3.2 Revenue-to-Cost Multiples</w:t>
      </w:r>
    </w:p>
    <w:p>
      <w:pPr>
        <w:spacing w:after="80"/>
      </w:pPr>
      <w:r>
        <w:rPr>
          <w:sz w:val="20"/>
          <w:szCs w:val="20"/>
        </w:rPr>
        <w:t xml:space="preserve">Higher values = more revenue generated per rupee of cost.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obToCostMultiple   = orderBooking / totalCost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saleToCostMultiple = sale / totalCost</w:t>
      </w:r>
    </w:p>
    <w:p>
      <w:pPr>
        <w:spacing w:after="80"/>
      </w:pPr>
      <w:r>
        <w:rPr>
          <w:b/>
          <w:bCs/>
          <w:color w:val="C00000"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Returns null when totalCost = 0 to avoid division by zero.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3.3 Per-Unit Cost Metrics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costPerRetailer       = totalCost / totalRetailers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costPerVisit          = totalCost / totalVisitsDone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costPerActiveRetailer = totalCost / activeRetailers  [= "cost per order"]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3.4 Cost Efficiency Ratio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costRatioPct = (totalCost / orderBooking) × 100  [% of OB]</w:t>
      </w:r>
    </w:p>
    <w:p>
      <w:pPr>
        <w:spacing w:after="80"/>
      </w:pPr>
      <w:r>
        <w:rPr>
          <w:b/>
          <w:bCs/>
          <w:color w:val="C00000"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Returns null when orderBooking = 0. Label shown in UI includes the denominator ("% of OB") to avoid misinterpretation.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3.5 Margin ROI</w:t>
      </w:r>
    </w:p>
    <w:p>
      <w:pPr>
        <w:spacing w:after="80"/>
      </w:pPr>
      <w:r>
        <w:rPr>
          <w:sz w:val="20"/>
          <w:szCs w:val="20"/>
        </w:rPr>
        <w:t xml:space="preserve">Requires finished-goods cost from cost_master table. Until cost_master has data, marginRoiAvailable = false and no margin metric is displayed. MRP and Purchase Price are NEVER used as cost proxies under any circumstances.</w:t>
      </w:r>
    </w:p>
    <w:p>
      <w:pPr>
        <w:pStyle w:val="Heading1"/>
        <w:shd w:fill="1F3864" w:color="1F3864" w:val="solid"/>
        <w:spacing w:after="120" w:before="320"/>
      </w:pPr>
      <w:r>
        <w:rPr>
          <w:b/>
          <w:bCs/>
          <w:color w:val="FFFFFF"/>
          <w:sz w:val="28"/>
          <w:szCs w:val="28"/>
        </w:rPr>
        <w:t xml:space="preserve">4. YoY Analytics (analytics.ts)</w:t>
      </w:r>
    </w:p>
    <w:p>
      <w:pPr>
        <w:spacing w:after="80"/>
      </w:pPr>
      <w:r>
        <w:rPr>
          <w:sz w:val="20"/>
          <w:szCs w:val="20"/>
        </w:rPr>
        <w:t xml:space="preserve">All YoY figures are computed directly on sale_line (primary invoice register). Rules: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Only complete months enter any comparison (see Section 2).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Territory (is_territory=true) and Institutional (is_territory=false) are NEVER blended — they move in opposite directions.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QTY is never summed across product groups (mixed units). Revenue is the only cross-group aggregate.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Every query filters version_status = 'current'.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4.1 Monthly Stats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territoryAmount      = SUM(amount) WHERE is_territory = true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institutionalAmount  = amount - territoryAmount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complete             = isMonthComplete(monthLabel, max(invoice_date))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4.2 YoY Growth (complete months only)</w:t>
      </w:r>
    </w:p>
    <w:p>
      <w:pPr>
        <w:spacing w:after="80"/>
      </w:pPr>
      <w:r>
        <w:rPr>
          <w:sz w:val="20"/>
          <w:szCs w:val="20"/>
        </w:rPr>
        <w:t xml:space="preserve">Let CY = current year complete months, LY = same calendar months in the prior year.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overallGrowthPct     = (CY_total - LY_total) / LY_total × 100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territoryGrowthPct   = (CY_territory - LY_territory) / LY_territory × 100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institutionalGrowthPct = (CY_institutional - LY_institutional) / LY_institutional × 100</w:t>
      </w:r>
    </w:p>
    <w:p>
      <w:pPr>
        <w:spacing w:after="80"/>
      </w:pPr>
      <w:r>
        <w:rPr>
          <w:b/>
          <w:bCs/>
          <w:color w:val="C00000"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Growth is undefined (null) if LY total = 0 for either channel. Growth for Territory and Institutional is computed separately and never averaged.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4.3 Customer Retention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Active Customer: </w:t>
      </w:r>
      <w:r>
        <w:rPr>
          <w:sz w:val="20"/>
          <w:szCs w:val="20"/>
        </w:rPr>
        <w:t xml:space="preserve">A customer who placed at least one invoice in a given month.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Retained Customer: </w:t>
      </w:r>
      <w:r>
        <w:rPr>
          <w:sz w:val="20"/>
          <w:szCs w:val="20"/>
        </w:rPr>
        <w:t xml:space="preserve">An active customer in CY who also purchased in the same calendar month of LY.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retentionRate = (retained customers) / (LY active customers) × 100</w:t>
      </w:r>
    </w:p>
    <w:p>
      <w:pPr>
        <w:spacing w:after="80"/>
      </w:pPr>
      <w:r>
        <w:rPr>
          <w:sz w:val="20"/>
          <w:szCs w:val="20"/>
        </w:rPr>
        <w:t xml:space="preserve">Retention is computed per complete month, then shown as a trend series.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4.4 Margins (by Group)</w:t>
      </w:r>
    </w:p>
    <w:p>
      <w:pPr>
        <w:spacing w:after="80"/>
      </w:pPr>
      <w:r>
        <w:rPr>
          <w:sz w:val="20"/>
          <w:szCs w:val="20"/>
        </w:rPr>
        <w:t xml:space="preserve">Requires cost_master to have entries for product codes. For each group: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margin = SUM((saleRate - fg_cost) × qty)  over codes in cost_master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marginPct = margin / SUM(amount) × 100</w:t>
      </w:r>
    </w:p>
    <w:p>
      <w:pPr>
        <w:spacing w:after="80"/>
      </w:pPr>
      <w:r>
        <w:rPr>
          <w:b/>
          <w:bCs/>
          <w:color w:val="C00000"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If cost_master is empty, margin_by_group = []. There is no fallback. Purchase Price or MRP are never substituted.</w:t>
      </w:r>
    </w:p>
    <w:p>
      <w:pPr>
        <w:pStyle w:val="Heading1"/>
        <w:shd w:fill="1F3864" w:color="1F3864" w:val="solid"/>
        <w:spacing w:after="120" w:before="320"/>
      </w:pPr>
      <w:r>
        <w:rPr>
          <w:b/>
          <w:bCs/>
          <w:color w:val="FFFFFF"/>
          <w:sz w:val="28"/>
          <w:szCs w:val="28"/>
        </w:rPr>
        <w:t xml:space="preserve">5. Laspeyres Price Multiplier</w:t>
      </w:r>
    </w:p>
    <w:p>
      <w:pPr>
        <w:spacing w:after="80"/>
      </w:pPr>
      <w:r>
        <w:rPr>
          <w:sz w:val="20"/>
          <w:szCs w:val="20"/>
        </w:rPr>
        <w:t xml:space="preserve">Used in the Customer Performance page to decompose nominal sales growth into price-driven and volume-driven components. Stored in price_multiplier table.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5.1 Formula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multiplier = Σ(qty_LY × price_CY) / Σ(qty_LY × price_LY)</w:t>
      </w:r>
    </w:p>
    <w:p>
      <w:pPr>
        <w:spacing w:after="80"/>
      </w:pPr>
      <w:r>
        <w:rPr>
          <w:sz w:val="20"/>
          <w:szCs w:val="20"/>
        </w:rPr>
        <w:t xml:space="preserve">Where the sum is over items common to both years (shared items). Only items present in both LY and CY enter the multiplier.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5.2 Scope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company scope: </w:t>
      </w:r>
      <w:r>
        <w:rPr>
          <w:sz w:val="20"/>
          <w:szCs w:val="20"/>
        </w:rPr>
        <w:t xml:space="preserve">Multiplier computed across all items (one value for the whole company).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category scope: </w:t>
      </w:r>
      <w:r>
        <w:rPr>
          <w:sz w:val="20"/>
          <w:szCs w:val="20"/>
        </w:rPr>
        <w:t xml:space="preserve">Separate multiplier per product category (group_canon).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customer scope: </w:t>
      </w:r>
      <w:r>
        <w:rPr>
          <w:sz w:val="20"/>
          <w:szCs w:val="20"/>
        </w:rPr>
        <w:t xml:space="preserve">Separate multiplier per customer.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5.3 Real Growth Decomposition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nominalGrowthPct = (CY_value - LY_value) / LY_value × 100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realGrowthPct    = (CY_value / LY_value / multiplier - 1) × 100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priceContribution = (multiplier - 1) × 100  [percentage points]</w:t>
      </w:r>
    </w:p>
    <w:p>
      <w:pPr>
        <w:spacing w:after="80"/>
      </w:pPr>
      <w:r>
        <w:rPr>
          <w:sz w:val="20"/>
          <w:szCs w:val="20"/>
        </w:rPr>
        <w:t xml:space="preserve">If multiplier &gt; 1, prices rose and price effect is positive. If multiplier &lt; 1, prices fell.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5.4 Freezing</w:t>
      </w:r>
    </w:p>
    <w:p>
      <w:pPr>
        <w:spacing w:after="80"/>
      </w:pPr>
      <w:r>
        <w:rPr>
          <w:sz w:val="20"/>
          <w:szCs w:val="20"/>
        </w:rPr>
        <w:t xml:space="preserve">Once a FY closes, the multiplier rows for that FY pair are frozen (frozen = true). Frozen rows must never be retro-edited.</w:t>
      </w:r>
    </w:p>
    <w:p>
      <w:pPr>
        <w:pStyle w:val="Heading1"/>
        <w:shd w:fill="1F3864" w:color="1F3864" w:val="solid"/>
        <w:spacing w:after="120" w:before="320"/>
      </w:pPr>
      <w:r>
        <w:rPr>
          <w:b/>
          <w:bCs/>
          <w:color w:val="FFFFFF"/>
          <w:sz w:val="28"/>
          <w:szCs w:val="28"/>
        </w:rPr>
        <w:t xml:space="preserve">6. Incentive Scheme Engine</w:t>
      </w:r>
    </w:p>
    <w:p>
      <w:pPr>
        <w:spacing w:after="80"/>
      </w:pPr>
      <w:r>
        <w:rPr>
          <w:sz w:val="20"/>
          <w:szCs w:val="20"/>
        </w:rPr>
        <w:t xml:space="preserve">Configurable incentive schemes defined in scheme_def with ordered slabs in scheme_slab.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6.1 Scheme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  <w:shd w:fill="2F5496" w:color="2F5496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pct" w:w="65%"/>
            <w:shd w:fill="2F5496" w:color="2F5496" w:val="solid"/>
          </w:tcPr>
          <w:p>
            <w:r>
              <w:rPr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pct" w:w="35%"/>
            <w:shd w:fill="F4F8FF" w:color="F4F8FF" w:val="solid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applies_to</w:t>
            </w:r>
          </w:p>
        </w:tc>
        <w:tc>
          <w:tcPr>
            <w:tcW w:type="pct" w:w="65%"/>
            <w:shd w:fill="F4F8FF" w:color="F4F8FF" w:val="solid"/>
          </w:tcPr>
          <w:p>
            <w:r>
              <w:rPr>
                <w:color w:val="000000"/>
                <w:sz w:val="19"/>
                <w:szCs w:val="19"/>
              </w:rPr>
              <w:t xml:space="preserve">Who qualifies: "distributor" | "direct_dealer" | "retailer" (array)</w:t>
            </w:r>
          </w:p>
        </w:tc>
      </w:tr>
      <w:tr>
        <w:tc>
          <w:tcPr>
            <w:tcW w:type="pct" w:w="35%"/>
            <w:shd w:fill="D9E1F2" w:color="D9E1F2" w:val="solid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period_type</w:t>
            </w:r>
          </w:p>
        </w:tc>
        <w:tc>
          <w:tcPr>
            <w:tcW w:type="pct" w:w="65%"/>
            <w:shd w:fill="D9E1F2" w:color="D9E1F2" w:val="solid"/>
          </w:tcPr>
          <w:p>
            <w:r>
              <w:rPr>
                <w:color w:val="000000"/>
                <w:sz w:val="19"/>
                <w:szCs w:val="19"/>
              </w:rPr>
              <w:t xml:space="preserve">Period granularity: "month" | "quarter" | "fy" | "custom"</w:t>
            </w:r>
          </w:p>
        </w:tc>
      </w:tr>
      <w:tr>
        <w:tc>
          <w:tcPr>
            <w:tcW w:type="pct" w:w="35%"/>
            <w:shd w:fill="F4F8FF" w:color="F4F8FF" w:val="solid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basis</w:t>
            </w:r>
          </w:p>
        </w:tc>
        <w:tc>
          <w:tcPr>
            <w:tcW w:type="pct" w:w="65%"/>
            <w:shd w:fill="F4F8FF" w:color="F4F8FF" w:val="solid"/>
          </w:tcPr>
          <w:p>
            <w:r>
              <w:rPr>
                <w:color w:val="000000"/>
                <w:sz w:val="19"/>
                <w:szCs w:val="19"/>
              </w:rPr>
              <w:t xml:space="preserve">"value" — qualified by rupee purchase amount; "qty" — by pieces purchased</w:t>
            </w:r>
          </w:p>
        </w:tc>
      </w:tr>
      <w:tr>
        <w:tc>
          <w:tcPr>
            <w:tcW w:type="pct" w:w="35%"/>
            <w:shd w:fill="D9E1F2" w:color="D9E1F2" w:val="solid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scope_type</w:t>
            </w:r>
          </w:p>
        </w:tc>
        <w:tc>
          <w:tcPr>
            <w:tcW w:type="pct" w:w="65%"/>
            <w:shd w:fill="D9E1F2" w:color="D9E1F2" w:val="solid"/>
          </w:tcPr>
          <w:p>
            <w:r>
              <w:rPr>
                <w:color w:val="000000"/>
                <w:sz w:val="19"/>
                <w:szCs w:val="19"/>
              </w:rPr>
              <w:t xml:space="preserve">"all" — all products; "category" — named groups; "product_list" — specific codes</w:t>
            </w:r>
          </w:p>
        </w:tc>
      </w:tr>
      <w:tr>
        <w:tc>
          <w:tcPr>
            <w:tcW w:type="pct" w:w="35%"/>
            <w:shd w:fill="F4F8FF" w:color="F4F8FF" w:val="solid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use_price_multiplier</w:t>
            </w:r>
          </w:p>
        </w:tc>
        <w:tc>
          <w:tcPr>
            <w:tcW w:type="pct" w:w="65%"/>
            <w:shd w:fill="F4F8FF" w:color="F4F8FF" w:val="solid"/>
          </w:tcPr>
          <w:p>
            <w:r>
              <w:rPr>
                <w:color w:val="000000"/>
                <w:sz w:val="19"/>
                <w:szCs w:val="19"/>
              </w:rPr>
              <w:t xml:space="preserve">If true, apply Laspeyres multiplier so growth target is in real (volume) terms</w:t>
            </w:r>
          </w:p>
        </w:tc>
      </w:tr>
      <w:tr>
        <w:tc>
          <w:tcPr>
            <w:tcW w:type="pct" w:w="35%"/>
            <w:shd w:fill="D9E1F2" w:color="D9E1F2" w:val="solid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desired_real_growth_pct</w:t>
            </w:r>
          </w:p>
        </w:tc>
        <w:tc>
          <w:tcPr>
            <w:tcW w:type="pct" w:w="65%"/>
            <w:shd w:fill="D9E1F2" w:color="D9E1F2" w:val="solid"/>
          </w:tcPr>
          <w:p>
            <w:r>
              <w:rPr>
                <w:color w:val="000000"/>
                <w:sz w:val="19"/>
                <w:szCs w:val="19"/>
              </w:rPr>
              <w:t xml:space="preserve">Target real growth % that triggers the highest slab benefit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6.2 Slab Evaluation</w:t>
      </w:r>
    </w:p>
    <w:p>
      <w:pPr>
        <w:spacing w:after="80"/>
      </w:pPr>
      <w:r>
        <w:rPr>
          <w:sz w:val="20"/>
          <w:szCs w:val="20"/>
        </w:rPr>
        <w:t xml:space="preserve">For each qualifying customer/period, compute their purchase metric (value or qty), then find the highest slab whose threshold is met: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benefitAmount = slab.benefitValue   [if benefitType = "flat"]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benefitAmount = slab.benefitValue / 100 × purchaseAmount  [if benefitType = "pct"]</w:t>
      </w:r>
    </w:p>
    <w:p>
      <w:pPr>
        <w:spacing w:after="80"/>
      </w:pPr>
      <w:r>
        <w:rPr>
          <w:sz w:val="20"/>
          <w:szCs w:val="20"/>
        </w:rPr>
        <w:t xml:space="preserve">Slabs are evaluated in ascending order (slab_order 1 = lowest threshold). The highest qualifying slab wins.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6.3 ROI Nudge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Nudge Engine: </w:t>
      </w:r>
      <w:r>
        <w:rPr>
          <w:sz w:val="20"/>
          <w:szCs w:val="20"/>
        </w:rPr>
        <w:t xml:space="preserve">Shows each customer what they need to buy to reach the next scheme slab.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gap = nextSlab.threshold - currentPurchase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roi = (nextBenefit - currentBenefit) / (gap × cost_per_unit)</w:t>
      </w:r>
    </w:p>
    <w:p>
      <w:pPr>
        <w:spacing w:after="80"/>
      </w:pPr>
      <w:r>
        <w:rPr>
          <w:b/>
          <w:bCs/>
          <w:color w:val="C00000"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Uses group_raw (not group_canon) in SQL for the nudge calculation to match source-file groupings exactly.</w:t>
      </w:r>
    </w:p>
    <w:p>
      <w:pPr>
        <w:pStyle w:val="Heading1"/>
        <w:shd w:fill="1F3864" w:color="1F3864" w:val="solid"/>
        <w:spacing w:after="120" w:before="320"/>
      </w:pPr>
      <w:r>
        <w:rPr>
          <w:b/>
          <w:bCs/>
          <w:color w:val="FFFFFF"/>
          <w:sz w:val="28"/>
          <w:szCs w:val="28"/>
        </w:rPr>
        <w:t xml:space="preserve">7. Secondary Channel Rules</w:t>
      </w:r>
    </w:p>
    <w:p>
      <w:pPr>
        <w:spacing w:after="80"/>
      </w:pPr>
      <w:r>
        <w:rPr>
          <w:sz w:val="20"/>
          <w:szCs w:val="20"/>
        </w:rPr>
        <w:t xml:space="preserve">Secondary = distributor-to-retailer sales. These are entirely separate from primary (company-to-distributor) sales.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7.1 Data Separation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Primary sale_line and secondary secondary_register_line must NEVER be summed together in any metric.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Primary sale_line is the sole source of headline order booking and primary sales figures.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Secondary secondary_register_line is for drill-down analysis only (customer/SKU/month).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7.2 Gross vs Net</w:t>
      </w:r>
    </w:p>
    <w:p>
      <w:pPr>
        <w:spacing w:after="80"/>
      </w:pPr>
      <w:r>
        <w:rPr>
          <w:b/>
          <w:bCs/>
          <w:sz w:val="20"/>
          <w:szCs w:val="20"/>
        </w:rPr>
        <w:t xml:space="preserve">gross_amount: </w:t>
      </w:r>
      <w:r>
        <w:rPr>
          <w:sz w:val="20"/>
          <w:szCs w:val="20"/>
        </w:rPr>
        <w:t xml:space="preserve">Order Value as written in source, before distributor discount. Use for market-size analysis.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net_amount: </w:t>
      </w:r>
      <w:r>
        <w:rPr>
          <w:sz w:val="20"/>
          <w:szCs w:val="20"/>
        </w:rPr>
        <w:t xml:space="preserve">gross_amount × (1 - discount_pct/100). Use for achievement reporting. Should match the dashboard's ordered_amount for the same period/head.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net_amount = gross_amount × (1 - discount_pct / 100)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7.3 Achievement</w:t>
      </w:r>
    </w:p>
    <w:p>
      <w:pPr>
        <w:spacing w:after="80"/>
      </w:pPr>
      <w:r>
        <w:rPr>
          <w:b/>
          <w:bCs/>
          <w:sz w:val="20"/>
          <w:szCs w:val="20"/>
        </w:rPr>
        <w:t xml:space="preserve">Secondary Achievement: </w:t>
      </w:r>
      <w:r>
        <w:rPr>
          <w:sz w:val="20"/>
          <w:szCs w:val="20"/>
        </w:rPr>
        <w:t xml:space="preserve">received_amount / plan_amount. Recomputed here; the sheet's own achievement column uses ordered/plan and is wrong.</w:t>
      </w:r>
    </w:p>
    <w:p>
      <w:pPr>
        <w:spacing w:after="80"/>
      </w:pPr>
      <w:r>
        <w:rPr>
          <w:b/>
          <w:bCs/>
          <w:color w:val="C00000"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is_anomaly = true when salesAmount &gt; orderedAmount × 1.5 AND orderedAmount &gt; 0. Anomalous months are excluded from rankings and YTD achievement totals.</w:t>
      </w:r>
    </w:p>
    <w:p>
      <w:pPr>
        <w:spacing w:after="80"/>
      </w:pPr>
      <w:r>
        <w:rPr>
          <w:b/>
          <w:bCs/>
          <w:color w:val="C00000"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not_yet_recorded = true when the calendar month has not yet closed. These months are never treated as 0% achievement.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7.4 Closed FY Freeze</w:t>
      </w:r>
    </w:p>
    <w:p>
      <w:pPr>
        <w:spacing w:after="80"/>
      </w:pPr>
      <w:r>
        <w:rPr>
          <w:sz w:val="20"/>
          <w:szCs w:val="20"/>
        </w:rPr>
        <w:t xml:space="preserve">Once a FY closes (isClosedFy(fy) = true), the secondary STATE HEAD DASHBOARD snapshot is loaded once from Sheets and stored in secondary_dashboard_snapshot. All subsequent cold-start reads serve from DB without re-hitting Sheets. There is no TTL — closed FY data is frozen permanently.</w:t>
      </w:r>
    </w:p>
    <w:p>
      <w:pPr>
        <w:spacing w:after="80"/>
      </w:pPr>
      <w:r>
        <w:rPr>
          <w:sz w:val="20"/>
          <w:szCs w:val="20"/>
        </w:rPr>
        <w:t xml:space="preserve">FY2025-26 was frozen July 20, 2026: 216 members, plan Rs.379.75 Cr, salesReceived Rs.240.14 Cr, ytdAchievement 68.1%.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7.5 Reconciliation Rule</w:t>
      </w:r>
    </w:p>
    <w:p>
      <w:pPr>
        <w:spacing w:after="80"/>
      </w:pPr>
      <w:r>
        <w:rPr>
          <w:sz w:val="20"/>
          <w:szCs w:val="20"/>
        </w:rPr>
        <w:t xml:space="preserve">Register-to-dashboard reconciliation runs monthly (not annually). A Gate 1 dry-run should be executed after each month closes to confirm net_amount totals match the dashboard's ordered_amount within 1% materiality.</w:t>
      </w:r>
    </w:p>
    <w:p>
      <w:pPr>
        <w:pStyle w:val="Heading1"/>
        <w:shd w:fill="1F3864" w:color="1F3864" w:val="solid"/>
        <w:spacing w:after="120" w:before="320"/>
      </w:pPr>
      <w:r>
        <w:rPr>
          <w:b/>
          <w:bCs/>
          <w:color w:val="FFFFFF"/>
          <w:sz w:val="28"/>
          <w:szCs w:val="28"/>
        </w:rPr>
        <w:t xml:space="preserve">8. Primary Register Ingestion Pipeline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8.1 line_uid Construction</w:t>
      </w:r>
    </w:p>
    <w:p>
      <w:pPr>
        <w:spacing w:after="80"/>
      </w:pPr>
      <w:r>
        <w:rPr>
          <w:sz w:val="20"/>
          <w:szCs w:val="20"/>
        </w:rPr>
        <w:t xml:space="preserve">Deterministic SHA1 hash of the following fields in pipe-delimited order: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line_uid = SHA1(fy|invoice_no|code|color|qty|month_label|occurrence)</w:t>
      </w:r>
    </w:p>
    <w:p>
      <w:pPr>
        <w:spacing w:after="80"/>
      </w:pPr>
      <w:r>
        <w:rPr>
          <w:sz w:val="20"/>
          <w:szCs w:val="20"/>
        </w:rPr>
        <w:t xml:space="preserve">Occurrence is a counter that increments for each row sharing the same natural key (fy, invoice_no, code, color, qty, month_label) in source order. This preserves legitimate duplicate lines (e.g., two identical dispatch lines on one invoice).</w:t>
      </w:r>
    </w:p>
    <w:p>
      <w:pPr>
        <w:spacing w:after="80"/>
      </w:pPr>
      <w:r>
        <w:rPr>
          <w:b/>
          <w:bCs/>
          <w:color w:val="C00000"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invoice_no is excluded from line_uid for older FYs that lack a reliable invoice number column. The occurrence counter must be computed over ALL rows before any filtering.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8.2 Idempotency</w:t>
      </w:r>
    </w:p>
    <w:p>
      <w:pPr>
        <w:spacing w:after="80"/>
      </w:pPr>
      <w:r>
        <w:rPr>
          <w:sz w:val="20"/>
          <w:szCs w:val="20"/>
        </w:rPr>
        <w:t xml:space="preserve">Inserts use ON CONFLICT DO NOTHING on line_uid. This means: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xlsx backfill and live Sheets reads can both run safely without duplicating rows.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Re-running a backfill for the same FY is safe.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The order in which sources are processed does not matter for correctness.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8.3 Version Model</w:t>
      </w:r>
    </w:p>
    <w:p>
      <w:pPr>
        <w:spacing w:after="80"/>
      </w:pPr>
      <w:r>
        <w:rPr>
          <w:sz w:val="20"/>
          <w:szCs w:val="20"/>
        </w:rPr>
        <w:t xml:space="preserve">When a live sync finds a row whose identity key (fy, invoice_no, code, color, qty, month_label) matches an existing current row but with changed amount, rate, or serial_no: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The old row is marked version_status = 'superseded', superseded_at = now, superseded_by = new line_uid.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 new row is inserted with version_status = 'current'.</w:t>
      </w:r>
    </w:p>
    <w:p>
      <w:pPr>
        <w:spacing w:after="80"/>
      </w:pPr>
      <w:r>
        <w:rPr>
          <w:b/>
          <w:bCs/>
          <w:color w:val="C00000"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Every reported figure must filter version_status = 'current'. The sale_line_current view applies this filter automatically for raw SQL.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8.4 Ingestion Guardrails</w:t>
      </w:r>
    </w:p>
    <w:p>
      <w:pPr>
        <w:spacing w:after="80"/>
      </w:pPr>
      <w:r>
        <w:rPr>
          <w:sz w:val="20"/>
          <w:szCs w:val="20"/>
        </w:rPr>
        <w:t xml:space="preserve">Before committing any batch to the database, the ingestion engine validates: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Expected per-FY row counts: actual count must be within tolerance of the expected count in config/expected_counts.json.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Zero unmapped groups: every group_raw value must have a canonical mapping. Failure → ingest_run.status = 'fail'.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Zero unmapped heads: every head_raw value must resolve to a canonical head.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Sum consistency: sum of amount in the batch must match the source-file total within ±1 rupee.</w:t>
      </w:r>
    </w:p>
    <w:p>
      <w:pPr>
        <w:spacing w:after="80"/>
      </w:pPr>
      <w:r>
        <w:rPr>
          <w:sz w:val="20"/>
          <w:szCs w:val="20"/>
        </w:rPr>
        <w:t xml:space="preserve">If any guardrail fails, ingest_run.status is set to 'fail' and no rows are inserted.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8.5 Live Sheets Reading</w:t>
      </w:r>
    </w:p>
    <w:p>
      <w:pPr>
        <w:spacing w:after="80"/>
      </w:pPr>
      <w:r>
        <w:rPr>
          <w:sz w:val="20"/>
          <w:szCs w:val="20"/>
        </w:rPr>
        <w:t xml:space="preserve">Live registers are read using the Google Sheets API spreadsheets.values.get in 50,000-row chunks (never files.export). The reader retries 429 and 5xx responses with exponential backoff.</w:t>
      </w:r>
    </w:p>
    <w:p>
      <w:pPr>
        <w:spacing w:after="80"/>
      </w:pPr>
      <w:r>
        <w:rPr>
          <w:b/>
          <w:bCs/>
          <w:color w:val="C00000"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Tab titles in xlsx exports are truncated to 31 characters. Live Sheets tabs keep the full title. Always match long tab names with startsWith, never equality.</w:t>
      </w:r>
    </w:p>
    <w:p>
      <w:pPr>
        <w:pStyle w:val="Heading1"/>
        <w:shd w:fill="1F3864" w:color="1F3864" w:val="solid"/>
        <w:spacing w:after="120" w:before="320"/>
      </w:pPr>
      <w:r>
        <w:rPr>
          <w:b/>
          <w:bCs/>
          <w:color w:val="FFFFFF"/>
          <w:sz w:val="28"/>
          <w:szCs w:val="28"/>
        </w:rPr>
        <w:t xml:space="preserve">9. SAP Primary Sales Pipeline (FY2026-27)</w:t>
      </w:r>
    </w:p>
    <w:p>
      <w:pPr>
        <w:spacing w:after="80"/>
      </w:pPr>
      <w:r>
        <w:rPr>
          <w:sz w:val="20"/>
          <w:szCs w:val="20"/>
        </w:rPr>
        <w:t xml:space="preserve">FY2026-27 primary sales are sourced from monthly SAP dispatch files uploaded by the operations team, replacing the Sheets-based register for that FY.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9.1 Upload</w:t>
      </w:r>
    </w:p>
    <w:p>
      <w:pPr>
        <w:spacing w:after="80"/>
      </w:pPr>
      <w:r>
        <w:rPr>
          <w:sz w:val="20"/>
          <w:szCs w:val="20"/>
        </w:rPr>
        <w:t xml:space="preserve">Monthly SAP xlsx files are uploaded via POST /api/sap/upload. Each upload: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Parses the xlsx using exceljs.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Derives month from invoice_date column.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Stores the file in Object Storage at /objects/uploads/&lt;uuid&gt;.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Upserts the sap_upload row — a re-upload for the same (fy, month) overwrites the previous entry.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9.2 Verification (Gate 4 pre-check)</w:t>
      </w:r>
    </w:p>
    <w:p>
      <w:pPr>
        <w:spacing w:after="80"/>
      </w:pPr>
      <w:r>
        <w:rPr>
          <w:sz w:val="20"/>
          <w:szCs w:val="20"/>
        </w:rPr>
        <w:t xml:space="preserve">GET /api/sap/verify/:fy cross-checks SAP totals against register totals per month: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sapDelta% = |sapAmount - registerAmount| / registerAmount × 100</w:t>
      </w:r>
    </w:p>
    <w:p>
      <w:pPr>
        <w:spacing w:after="80"/>
      </w:pPr>
      <w:r>
        <w:rPr>
          <w:sz w:val="20"/>
          <w:szCs w:val="20"/>
        </w:rPr>
        <w:t xml:space="preserve">A month passes when sapDelta% &lt; threshold (default 1%). Months that fail are flagged for investigation.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9.3 Cutover (Gate 4)</w:t>
      </w:r>
    </w:p>
    <w:p>
      <w:pPr>
        <w:spacing w:after="80"/>
      </w:pPr>
      <w:r>
        <w:rPr>
          <w:sz w:val="20"/>
          <w:szCs w:val="20"/>
        </w:rPr>
        <w:t xml:space="preserve">POST /api/sap/cutover/:fy is irreversible. It marks sale_line rows for that FY to use SAP as the authoritative source. All subsequent analytics read the SAP-sourced data.</w:t>
      </w:r>
    </w:p>
    <w:p>
      <w:pPr>
        <w:spacing w:after="80"/>
      </w:pPr>
      <w:r>
        <w:rPr>
          <w:b/>
          <w:bCs/>
          <w:color w:val="C00000"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The rate list (item master) never supplies cost or MRP for SAP lines. SAP amount is used directly.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9.4 Month Derivation</w:t>
      </w:r>
    </w:p>
    <w:p>
      <w:pPr>
        <w:spacing w:after="80"/>
      </w:pPr>
      <w:r>
        <w:rPr>
          <w:sz w:val="20"/>
          <w:szCs w:val="20"/>
        </w:rPr>
        <w:t xml:space="preserve">Month label for SAP rows is derived from invoice_date in the SAP file. There is no fallback header parsing — if invoice_date is absent, the file is rejected.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9.5 Sanity Baselines (as of July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  <w:shd w:fill="2F5496" w:color="2F5496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pct" w:w="65%"/>
            <w:shd w:fill="2F5496" w:color="2F5496" w:val="solid"/>
          </w:tcPr>
          <w:p>
            <w:r>
              <w:rPr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pct" w:w="35%"/>
            <w:shd w:fill="F4F8FF" w:color="F4F8FF" w:val="solid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Q1 FY26-27 primary (Apr-Jun)</w:t>
            </w:r>
          </w:p>
        </w:tc>
        <w:tc>
          <w:tcPr>
            <w:tcW w:type="pct" w:w="65%"/>
            <w:shd w:fill="F4F8FF" w:color="F4F8FF" w:val="solid"/>
          </w:tcPr>
          <w:p>
            <w:r>
              <w:rPr>
                <w:color w:val="000000"/>
                <w:sz w:val="19"/>
                <w:szCs w:val="19"/>
              </w:rPr>
              <w:t xml:space="preserve">Rs.73.09 Cr (730,867,205)</w:t>
            </w:r>
          </w:p>
        </w:tc>
      </w:tr>
      <w:tr>
        <w:tc>
          <w:tcPr>
            <w:tcW w:type="pct" w:w="35%"/>
            <w:shd w:fill="D9E1F2" w:color="D9E1F2" w:val="solid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Q1 invoices</w:t>
            </w:r>
          </w:p>
        </w:tc>
        <w:tc>
          <w:tcPr>
            <w:tcW w:type="pct" w:w="65%"/>
            <w:shd w:fill="D9E1F2" w:color="D9E1F2" w:val="solid"/>
          </w:tcPr>
          <w:p>
            <w:r>
              <w:rPr>
                <w:color w:val="000000"/>
                <w:sz w:val="19"/>
                <w:szCs w:val="19"/>
              </w:rPr>
              <w:t xml:space="preserve">5,714</w:t>
            </w:r>
          </w:p>
        </w:tc>
      </w:tr>
      <w:tr>
        <w:tc>
          <w:tcPr>
            <w:tcW w:type="pct" w:w="35%"/>
            <w:shd w:fill="F4F8FF" w:color="F4F8FF" w:val="solid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Q1 distinct customers</w:t>
            </w:r>
          </w:p>
        </w:tc>
        <w:tc>
          <w:tcPr>
            <w:tcW w:type="pct" w:w="65%"/>
            <w:shd w:fill="F4F8FF" w:color="F4F8FF" w:val="solid"/>
          </w:tcPr>
          <w:p>
            <w:r>
              <w:rPr>
                <w:color w:val="000000"/>
                <w:sz w:val="19"/>
                <w:szCs w:val="19"/>
              </w:rPr>
              <w:t xml:space="preserve">439</w:t>
            </w:r>
          </w:p>
        </w:tc>
      </w:tr>
      <w:tr>
        <w:tc>
          <w:tcPr>
            <w:tcW w:type="pct" w:w="35%"/>
            <w:shd w:fill="D9E1F2" w:color="D9E1F2" w:val="solid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YoY overall (Apr-Jun comparable)</w:t>
            </w:r>
          </w:p>
        </w:tc>
        <w:tc>
          <w:tcPr>
            <w:tcW w:type="pct" w:w="65%"/>
            <w:shd w:fill="D9E1F2" w:color="D9E1F2" w:val="solid"/>
          </w:tcPr>
          <w:p>
            <w:r>
              <w:rPr>
                <w:color w:val="000000"/>
                <w:sz w:val="19"/>
                <w:szCs w:val="19"/>
              </w:rPr>
              <w:t xml:space="preserve">-1.4%</w:t>
            </w:r>
          </w:p>
        </w:tc>
      </w:tr>
      <w:tr>
        <w:tc>
          <w:tcPr>
            <w:tcW w:type="pct" w:w="35%"/>
            <w:shd w:fill="F4F8FF" w:color="F4F8FF" w:val="solid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YoY Territory (Apr-Jun)</w:t>
            </w:r>
          </w:p>
        </w:tc>
        <w:tc>
          <w:tcPr>
            <w:tcW w:type="pct" w:w="65%"/>
            <w:shd w:fill="F4F8FF" w:color="F4F8FF" w:val="solid"/>
          </w:tcPr>
          <w:p>
            <w:r>
              <w:rPr>
                <w:color w:val="000000"/>
                <w:sz w:val="19"/>
                <w:szCs w:val="19"/>
              </w:rPr>
              <w:t xml:space="preserve">+8.5%</w:t>
            </w:r>
          </w:p>
        </w:tc>
      </w:tr>
      <w:tr>
        <w:tc>
          <w:tcPr>
            <w:tcW w:type="pct" w:w="35%"/>
            <w:shd w:fill="D9E1F2" w:color="D9E1F2" w:val="solid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YoY Institutional (Apr-Jun)</w:t>
            </w:r>
          </w:p>
        </w:tc>
        <w:tc>
          <w:tcPr>
            <w:tcW w:type="pct" w:w="65%"/>
            <w:shd w:fill="D9E1F2" w:color="D9E1F2" w:val="solid"/>
          </w:tcPr>
          <w:p>
            <w:r>
              <w:rPr>
                <w:color w:val="000000"/>
                <w:sz w:val="19"/>
                <w:szCs w:val="19"/>
              </w:rPr>
              <w:t xml:space="preserve">-54.1%</w:t>
            </w:r>
          </w:p>
        </w:tc>
      </w:tr>
      <w:tr>
        <w:tc>
          <w:tcPr>
            <w:tcW w:type="pct" w:w="35%"/>
            <w:shd w:fill="F4F8FF" w:color="F4F8FF" w:val="solid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FY2025-26 DB total</w:t>
            </w:r>
          </w:p>
        </w:tc>
        <w:tc>
          <w:tcPr>
            <w:tcW w:type="pct" w:w="65%"/>
            <w:shd w:fill="F4F8FF" w:color="F4F8FF" w:val="solid"/>
          </w:tcPr>
          <w:p>
            <w:r>
              <w:rPr>
                <w:color w:val="000000"/>
                <w:sz w:val="19"/>
                <w:szCs w:val="19"/>
              </w:rPr>
              <w:t xml:space="preserve">Rs.359.52 Cr (anchor Rs.361.14 Cr; 0.45% gap within 1% tolerance)</w:t>
            </w:r>
          </w:p>
        </w:tc>
      </w:tr>
      <w:tr>
        <w:tc>
          <w:tcPr>
            <w:tcW w:type="pct" w:w="35%"/>
            <w:shd w:fill="D9E1F2" w:color="D9E1F2" w:val="solid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FY2024-25 DB total</w:t>
            </w:r>
          </w:p>
        </w:tc>
        <w:tc>
          <w:tcPr>
            <w:tcW w:type="pct" w:w="65%"/>
            <w:shd w:fill="D9E1F2" w:color="D9E1F2" w:val="solid"/>
          </w:tcPr>
          <w:p>
            <w:r>
              <w:rPr>
                <w:color w:val="000000"/>
                <w:sz w:val="19"/>
                <w:szCs w:val="19"/>
              </w:rPr>
              <w:t xml:space="preserve">Rs.341.14 Cr (matches anchor to rounding)</w:t>
            </w:r>
          </w:p>
        </w:tc>
      </w:tr>
    </w:tbl>
    <w:p>
      <w:pPr>
        <w:pStyle w:val="Heading1"/>
        <w:shd w:fill="1F3864" w:color="1F3864" w:val="solid"/>
        <w:spacing w:after="120" w:before="320"/>
      </w:pPr>
      <w:r>
        <w:rPr>
          <w:b/>
          <w:bCs/>
          <w:color w:val="FFFFFF"/>
          <w:sz w:val="28"/>
          <w:szCs w:val="28"/>
        </w:rPr>
        <w:t xml:space="preserve">10. Target Management Rules</w:t>
      </w:r>
    </w:p>
    <w:p>
      <w:pPr>
        <w:spacing w:after="80"/>
      </w:pPr>
      <w:r>
        <w:rPr>
          <w:sz w:val="20"/>
          <w:szCs w:val="20"/>
        </w:rPr>
        <w:t xml:space="preserve">Two separate target systems exist: secondary targets (from Sheets Target Master) and primary targets (DB-stored per-person entries).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10.1 Secondary Targets (Prayag Target Master)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Source: Prayag Target Master Google Sheet (read-only; no writes ever permitted).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GET /api/targets reads current targets; POST /api/targets is removed (returns 405).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GET /api/targets/split-preview: pro-rata monthly split of annual target for preview only.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Missing targets render blank/grey, never zero (to distinguish "no target set" from "target = 0").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Monthly display: override monthly value if present; else annual / 12.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10.2 Primary Targets (DB, primary_target_entries)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annual: </w:t>
      </w:r>
      <w:r>
        <w:rPr>
          <w:sz w:val="20"/>
          <w:szCs w:val="20"/>
        </w:rPr>
        <w:t xml:space="preserve">1 value — full-year total in rupees.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half_yearly: </w:t>
      </w:r>
      <w:r>
        <w:rPr>
          <w:sz w:val="20"/>
          <w:szCs w:val="20"/>
        </w:rPr>
        <w:t xml:space="preserve">2 values — H1 (Apr-Sep) and H2 (Oct-Mar).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quarterly: </w:t>
      </w:r>
      <w:r>
        <w:rPr>
          <w:sz w:val="20"/>
          <w:szCs w:val="20"/>
        </w:rPr>
        <w:t xml:space="preserve">4 values — Q1 (Apr-Jun), Q2 (Jul-Sep), Q3 (Oct-Dec), Q4 (Jan-Mar).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monthly: </w:t>
      </w:r>
      <w:r>
        <w:rPr>
          <w:sz w:val="20"/>
          <w:szCs w:val="20"/>
        </w:rPr>
        <w:t xml:space="preserve">12 values — Apr through Mar in fiscal order.</w:t>
      </w:r>
    </w:p>
    <w:p>
      <w:pPr>
        <w:spacing w:after="80"/>
      </w:pPr>
      <w:r>
        <w:rPr>
          <w:sz w:val="20"/>
          <w:szCs w:val="20"/>
        </w:rPr>
        <w:t xml:space="preserve">Seasonal weights are applied server-side to split coarser cadences (annual, half-yearly, quarterly) into monthly breakdowns for period-target and achievement calculations.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10.3 State-Level Primary Targets (primary_state_targets)</w:t>
      </w:r>
    </w:p>
    <w:p>
      <w:pPr>
        <w:spacing w:after="80"/>
      </w:pPr>
      <w:r>
        <w:rPr>
          <w:sz w:val="20"/>
          <w:szCs w:val="20"/>
        </w:rPr>
        <w:t xml:space="preserve">State-bifurcated targets for primary order booking. One row per (fy, state_head, state, month_label). Values in Lakh rupees (1 Lakh = 1,00,000 Rs). Source "given" = from plan document; "derived" = seasonal estimate.</w:t>
      </w:r>
    </w:p>
    <w:p>
      <w:pPr>
        <w:pStyle w:val="Heading1"/>
        <w:shd w:fill="1F3864" w:color="1F3864" w:val="solid"/>
        <w:spacing w:after="120" w:before="320"/>
      </w:pPr>
      <w:r>
        <w:rPr>
          <w:b/>
          <w:bCs/>
          <w:color w:val="FFFFFF"/>
          <w:sz w:val="28"/>
          <w:szCs w:val="28"/>
        </w:rPr>
        <w:t xml:space="preserve">11. At-Risk Scoring &amp; Seasonality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11.1 At-Risk Customer Scoring</w:t>
      </w:r>
    </w:p>
    <w:p>
      <w:pPr>
        <w:spacing w:after="80"/>
      </w:pPr>
      <w:r>
        <w:rPr>
          <w:sz w:val="20"/>
          <w:szCs w:val="20"/>
        </w:rPr>
        <w:t xml:space="preserve">Replaces binary churn detection with a median-gap scoring model: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gapDays = days since last order invoice_date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medianGap = median(all inter-order gaps for this customer, same FY)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atRiskScore = gapDays / medianGap</w:t>
      </w:r>
    </w:p>
    <w:p>
      <w:pPr>
        <w:spacing w:after="80"/>
      </w:pPr>
      <w:r>
        <w:rPr>
          <w:sz w:val="20"/>
          <w:szCs w:val="20"/>
        </w:rPr>
        <w:t xml:space="preserve">Score &gt; 1.5 = elevated risk. Score &gt; 3.0 = critical. Score = null if customer has 0 or 1 order (insufficient gap history).</w:t>
      </w:r>
    </w:p>
    <w:p>
      <w:pPr>
        <w:spacing w:after="80"/>
      </w:pPr>
      <w:r>
        <w:rPr>
          <w:b/>
          <w:bCs/>
          <w:color w:val="C00000"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Win-back candidates are customers with atRiskScore &gt; threshold who placed orders in LY but not yet in CY complete months.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11.2 Seasonality Weights</w:t>
      </w:r>
    </w:p>
    <w:p>
      <w:pPr>
        <w:spacing w:after="80"/>
      </w:pPr>
      <w:r>
        <w:rPr>
          <w:sz w:val="20"/>
          <w:szCs w:val="20"/>
        </w:rPr>
        <w:t xml:space="preserve">SEASONAL_WEIGHTS array (defined in analytics.ts) gives each fiscal month a relative weight. Used to split coarser cadence targets into monthly portions: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monthlyTarget_m = annualTarget × SEASONAL_WEIGHTS[m] / SUM(SEASONAL_WEIGHTS)</w:t>
      </w:r>
    </w:p>
    <w:p>
      <w:pPr>
        <w:spacing w:after="80"/>
      </w:pPr>
      <w:r>
        <w:rPr>
          <w:sz w:val="20"/>
          <w:szCs w:val="20"/>
        </w:rPr>
        <w:t xml:space="preserve">Current Q1 (FY2026-27) reference values: pctElapsed = 20.7%, projectFactor = 4.84 (implies remaining-year projection = YTD / 0.207).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11.3 Run-Rate Projection</w:t>
      </w:r>
    </w:p>
    <w:p>
      <w:pPr>
        <w:shd w:fill="D9E1F2" w:color="D9E1F2" w:val="solid"/>
        <w:spacing w:after="80" w:before="60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projectedFY = YTD_actual / pctElapsed</w:t>
      </w:r>
    </w:p>
    <w:p>
      <w:pPr>
        <w:spacing w:after="80"/>
      </w:pPr>
      <w:r>
        <w:rPr>
          <w:sz w:val="20"/>
          <w:szCs w:val="20"/>
        </w:rPr>
        <w:t xml:space="preserve">Where pctElapsed = SUM(SEASONAL_WEIGHTS for complete months) / SUM(ALL SEASONAL_WEIGHTS). This is a seasonal-weighted elapsed fraction, not a simple calendar fraction.</w:t>
      </w:r>
    </w:p>
    <w:p>
      <w:pPr>
        <w:pStyle w:val="Heading1"/>
        <w:shd w:fill="1F3864" w:color="1F3864" w:val="solid"/>
        <w:spacing w:after="120" w:before="320"/>
      </w:pPr>
      <w:r>
        <w:rPr>
          <w:b/>
          <w:bCs/>
          <w:color w:val="FFFFFF"/>
          <w:sz w:val="28"/>
          <w:szCs w:val="28"/>
        </w:rPr>
        <w:t xml:space="preserve">12. Data Quality &amp; Audit Engine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12.1 Reconciliation Panel (GET /api/verify)</w:t>
      </w:r>
    </w:p>
    <w:p>
      <w:pPr>
        <w:spacing w:after="80"/>
      </w:pPr>
      <w:r>
        <w:rPr>
          <w:sz w:val="20"/>
          <w:szCs w:val="20"/>
        </w:rPr>
        <w:t xml:space="preserve">Compares three sources for the same FY: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Source A (xlsx ingested): rows and amounts from the backfill file as stored in sale_line.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Source B (live Sheets): current live read of the register via Sheets API.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Source C (DB): aggregation directly on sale_line.</w:t>
      </w:r>
    </w:p>
    <w:p>
      <w:pPr>
        <w:spacing w:after="80"/>
      </w:pPr>
      <w:r>
        <w:rPr>
          <w:sz w:val="20"/>
          <w:szCs w:val="20"/>
        </w:rPr>
        <w:t xml:space="preserve">Reports: row counts, amount sums, distinct invoices/customers, by-group and by-head breakdowns, deltas &gt; 0.5%, and live rows missing from the DB.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12.2 Backfill (POST /api/verify/backfill)</w:t>
      </w:r>
    </w:p>
    <w:p>
      <w:pPr>
        <w:spacing w:after="80"/>
      </w:pPr>
      <w:r>
        <w:rPr>
          <w:sz w:val="20"/>
          <w:szCs w:val="20"/>
        </w:rPr>
        <w:t xml:space="preserve">Re-reads the live register for the FY and inserts any lines whose line_uid is not yet in the database. Idempotent.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12.3 Full Audit (GET /api/audit)</w:t>
      </w:r>
    </w:p>
    <w:p>
      <w:pPr>
        <w:spacing w:after="80"/>
      </w:pPr>
      <w:r>
        <w:rPr>
          <w:sz w:val="20"/>
          <w:szCs w:val="20"/>
        </w:rPr>
        <w:t xml:space="preserve">10-group comprehensive audit: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  <w:shd w:fill="2F5496" w:color="2F5496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Audit Group</w:t>
            </w:r>
          </w:p>
        </w:tc>
        <w:tc>
          <w:tcPr>
            <w:tcW w:type="pct" w:w="65%"/>
            <w:shd w:fill="2F5496" w:color="2F5496" w:val="solid"/>
          </w:tcPr>
          <w:p>
            <w:r>
              <w:rPr>
                <w:color w:val="FFFFFF"/>
                <w:sz w:val="19"/>
                <w:szCs w:val="19"/>
              </w:rPr>
              <w:t xml:space="preserve">What it checks</w:t>
            </w:r>
          </w:p>
        </w:tc>
      </w:tr>
      <w:tr>
        <w:tc>
          <w:tcPr>
            <w:tcW w:type="pct" w:w="35%"/>
            <w:shd w:fill="F4F8FF" w:color="F4F8FF" w:val="solid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runFullVerify</w:t>
            </w:r>
          </w:p>
        </w:tc>
        <w:tc>
          <w:tcPr>
            <w:tcW w:type="pct" w:w="65%"/>
            <w:shd w:fill="F4F8FF" w:color="F4F8FF" w:val="solid"/>
          </w:tcPr>
          <w:p>
            <w:r>
              <w:rPr>
                <w:color w:val="000000"/>
                <w:sz w:val="19"/>
                <w:szCs w:val="19"/>
              </w:rPr>
              <w:t xml:space="preserve">Full register reconciliation across all three sources</w:t>
            </w:r>
          </w:p>
        </w:tc>
      </w:tr>
      <w:tr>
        <w:tc>
          <w:tcPr>
            <w:tcW w:type="pct" w:w="35%"/>
            <w:shd w:fill="D9E1F2" w:color="D9E1F2" w:val="solid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truncation</w:t>
            </w:r>
          </w:p>
        </w:tc>
        <w:tc>
          <w:tcPr>
            <w:tcW w:type="pct" w:w="65%"/>
            <w:shd w:fill="D9E1F2" w:color="D9E1F2" w:val="solid"/>
          </w:tcPr>
          <w:p>
            <w:r>
              <w:rPr>
                <w:color w:val="000000"/>
                <w:sz w:val="19"/>
                <w:szCs w:val="19"/>
              </w:rPr>
              <w:t xml:space="preserve">Tab-title 31-char truncation detection (tab not found vs truncated mismatch)</w:t>
            </w:r>
          </w:p>
        </w:tc>
      </w:tr>
      <w:tr>
        <w:tc>
          <w:tcPr>
            <w:tcW w:type="pct" w:w="35%"/>
            <w:shd w:fill="F4F8FF" w:color="F4F8FF" w:val="solid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report-logic</w:t>
            </w:r>
          </w:p>
        </w:tc>
        <w:tc>
          <w:tcPr>
            <w:tcW w:type="pct" w:w="65%"/>
            <w:shd w:fill="F4F8FF" w:color="F4F8FF" w:val="solid"/>
          </w:tcPr>
          <w:p>
            <w:r>
              <w:rPr>
                <w:color w:val="000000"/>
                <w:sz w:val="19"/>
                <w:szCs w:val="19"/>
              </w:rPr>
              <w:t xml:space="preserve">Business-logic assertions (achievement recomputed vs sheet value, NET = Sub Total)</w:t>
            </w:r>
          </w:p>
        </w:tc>
      </w:tr>
      <w:tr>
        <w:tc>
          <w:tcPr>
            <w:tcW w:type="pct" w:w="35%"/>
            <w:shd w:fill="D9E1F2" w:color="D9E1F2" w:val="solid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cross-foots</w:t>
            </w:r>
          </w:p>
        </w:tc>
        <w:tc>
          <w:tcPr>
            <w:tcW w:type="pct" w:w="65%"/>
            <w:shd w:fill="D9E1F2" w:color="D9E1F2" w:val="solid"/>
          </w:tcPr>
          <w:p>
            <w:r>
              <w:rPr>
                <w:color w:val="000000"/>
                <w:sz w:val="19"/>
                <w:szCs w:val="19"/>
              </w:rPr>
              <w:t xml:space="preserve">Column totals in source match row-level sums (cross-foot integrity)</w:t>
            </w:r>
          </w:p>
        </w:tc>
      </w:tr>
      <w:tr>
        <w:tc>
          <w:tcPr>
            <w:tcW w:type="pct" w:w="35%"/>
            <w:shd w:fill="F4F8FF" w:color="F4F8FF" w:val="solid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pending-crosscheck</w:t>
            </w:r>
          </w:p>
        </w:tc>
        <w:tc>
          <w:tcPr>
            <w:tcW w:type="pct" w:w="65%"/>
            <w:shd w:fill="F4F8FF" w:color="F4F8FF" w:val="solid"/>
          </w:tcPr>
          <w:p>
            <w:r>
              <w:rPr>
                <w:color w:val="000000"/>
                <w:sz w:val="19"/>
                <w:szCs w:val="19"/>
              </w:rPr>
              <w:t xml:space="preserve">Items awaiting manual verification (mismatch queue unresolved count)</w:t>
            </w:r>
          </w:p>
        </w:tc>
      </w:tr>
      <w:tr>
        <w:tc>
          <w:tcPr>
            <w:tcW w:type="pct" w:w="35%"/>
            <w:shd w:fill="D9E1F2" w:color="D9E1F2" w:val="solid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SAP-lag</w:t>
            </w:r>
          </w:p>
        </w:tc>
        <w:tc>
          <w:tcPr>
            <w:tcW w:type="pct" w:w="65%"/>
            <w:shd w:fill="D9E1F2" w:color="D9E1F2" w:val="solid"/>
          </w:tcPr>
          <w:p>
            <w:r>
              <w:rPr>
                <w:color w:val="000000"/>
                <w:sz w:val="19"/>
                <w:szCs w:val="19"/>
              </w:rPr>
              <w:t xml:space="preserve">Months where SAP upload is missing or more than 5 business days stale</w:t>
            </w:r>
          </w:p>
        </w:tc>
      </w:tr>
      <w:tr>
        <w:tc>
          <w:tcPr>
            <w:tcW w:type="pct" w:w="35%"/>
            <w:shd w:fill="F4F8FF" w:color="F4F8FF" w:val="solid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+4 extra groups</w:t>
            </w:r>
          </w:p>
        </w:tc>
        <w:tc>
          <w:tcPr>
            <w:tcW w:type="pct" w:w="65%"/>
            <w:shd w:fill="F4F8FF" w:color="F4F8FF" w:val="solid"/>
          </w:tcPr>
          <w:p>
            <w:r>
              <w:rPr>
                <w:color w:val="000000"/>
                <w:sz w:val="19"/>
                <w:szCs w:val="19"/>
              </w:rPr>
              <w:t xml:space="preserve">As configured via extraGroups in audit.ts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GET /api/audit/download generates an 8-tab Excel audit workbook for offline review.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12.4 Materiality Threshold</w:t>
      </w:r>
    </w:p>
    <w:p>
      <w:pPr>
        <w:spacing w:after="80"/>
      </w:pPr>
      <w:r>
        <w:rPr>
          <w:sz w:val="20"/>
          <w:szCs w:val="20"/>
        </w:rPr>
        <w:t xml:space="preserve">A delta between sources is flagged when it exceeds 0.5% of the total. For the overall FY health check, a gap up to 1% is within the materiality bar and considered closed.</w:t>
      </w:r>
    </w:p>
    <w:p>
      <w:pPr>
        <w:spacing w:after="80"/>
      </w:pPr>
      <w:r>
        <w:rPr>
          <w:sz w:val="20"/>
          <w:szCs w:val="20"/>
        </w:rPr>
        <w:t xml:space="preserve">FY2025-26 example: DB total Rs.359.52 Cr vs anchor Rs.361.14 Cr = 0.45% gap. Accepted as within tolerance.</w:t>
      </w:r>
    </w:p>
    <w:p>
      <w:pPr>
        <w:pStyle w:val="Heading1"/>
        <w:shd w:fill="1F3864" w:color="1F3864" w:val="solid"/>
        <w:spacing w:after="120" w:before="320"/>
      </w:pPr>
      <w:r>
        <w:rPr>
          <w:b/>
          <w:bCs/>
          <w:color w:val="FFFFFF"/>
          <w:sz w:val="28"/>
          <w:szCs w:val="28"/>
        </w:rPr>
        <w:t xml:space="preserve">13. Dashboard Snapshot Model</w:t>
      </w:r>
    </w:p>
    <w:p>
      <w:pPr>
        <w:spacing w:after="80"/>
      </w:pPr>
      <w:r>
        <w:rPr>
          <w:sz w:val="20"/>
          <w:szCs w:val="20"/>
        </w:rPr>
        <w:t xml:space="preserve">The dashboard uses an immutable append-only snapshot pattern. This gives free history and graceful fallback.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13.1 On Server Startup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1 (synchronous): ensureSeeded() — if dashboard_snapshots is empty, insert a baseline row from the bundled prayag_data.json seed file. First paint is instant.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2 (async background): trigger a live sync from Google Sheets. On success, append a new "live" snapshot row.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3 (scheduled): repeat the live sync every DASHBOARD_SYNC_INTERVAL_MINUTES (default 60). Set to 0 to disable.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13.2 GET /api/dashboard</w:t>
      </w:r>
    </w:p>
    <w:p>
      <w:pPr>
        <w:spacing w:after="80"/>
      </w:pPr>
      <w:r>
        <w:rPr>
          <w:sz w:val="20"/>
          <w:szCs w:val="20"/>
        </w:rPr>
        <w:t xml:space="preserve">Always returns the row with the highest id in dashboard_snapshots. If a live sync fails, the last good row (with source_status = "live") is returned plus a refreshError string. The UI never goes blank.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13.3 Snapshot Fields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data: </w:t>
      </w:r>
      <w:r>
        <w:rPr>
          <w:sz w:val="20"/>
          <w:szCs w:val="20"/>
        </w:rPr>
        <w:t xml:space="preserve">Full dashboard JSON payload: totals, monthly trends, coverage, product mix, regional breakdown, order momentum, growth YoY, AI analyst context.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manifest: </w:t>
      </w:r>
      <w:r>
        <w:rPr>
          <w:sz w:val="20"/>
          <w:szCs w:val="20"/>
        </w:rPr>
        <w:t xml:space="preserve">Source file manifest: file names, row counts, last-modified timestamps for each source.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source_status: </w:t>
      </w:r>
      <w:r>
        <w:rPr>
          <w:sz w:val="20"/>
          <w:szCs w:val="20"/>
        </w:rPr>
        <w:t xml:space="preserve">"live" = built from Sheets | "seed" = bundled baseline.</w:t>
      </w:r>
    </w:p>
    <w:p>
      <w:pPr>
        <w:pStyle w:val="Heading2"/>
        <w:shd w:fill="2F5496" w:color="2F5496" w:val="solid"/>
        <w:spacing w:after="80" w:before="260"/>
      </w:pPr>
      <w:r>
        <w:rPr>
          <w:b/>
          <w:bCs/>
          <w:color w:val="FFFFFF"/>
          <w:sz w:val="24"/>
          <w:szCs w:val="24"/>
        </w:rPr>
        <w:t xml:space="preserve">13.4 FY Source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FY24-25 totals: item-wise SALE tab (only PRODUCT_GROUP-mapped codes → control total Rs.3,417,311,917).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Orders: per-month MONTHLY tabs, NOT the Combined tab (Combined is formula-driven and not cached in the export).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Resources/Coverage: live from Retailer-Distributor Data workbook.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Per-head data: live from STATE HEAD DASHBOARD (2026-27).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Live sync merges no seed fields — seed and live are entirely separate sources.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276"/>
    </w:pPr>
    <w:rPr>
      <w:rFonts w:ascii="Calibri" w:cs="Calibri" w:eastAsia="Calibri" w:hAnsi="Calibri"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2026-07-24T06:21:45.902Z</dcterms:created>
  <dcterms:modified xsi:type="dcterms:W3CDTF">2026-07-24T06:21:45.902Z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