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Prompt O1-I - three unresolved items from H-2</w:t>
      </w:r>
    </w:p>
    <w:p>
      <w:pPr>
        <w:spacing w:after="150"/>
      </w:pPr>
      <w:r>
        <w:rPr>
          <w:i/>
          <w:iCs/>
          <w:color w:val="555555"/>
        </w:rPr>
        <w:t xml:space="preserve">Keep the response short - tables and figures, no narrative. Send before O3.</w:t>
      </w:r>
    </w:p>
    <w:p>
      <w:pPr>
        <w:pStyle w:val="Heading1"/>
        <w:spacing w:after="100" w:before="240"/>
      </w:pPr>
      <w:r>
        <w:rPr>
          <w:b/>
          <w:bCs/>
        </w:rPr>
        <w:t xml:space="preserve">What H-2 settled</w:t>
      </w:r>
    </w:p>
    <w:p>
      <w:pPr>
        <w:spacing w:after="40"/>
        <w:ind w:left="360"/>
      </w:pPr>
      <w:r>
        <w:t xml:space="preserve">- Head coverage: the head_canon table sums cleanly to 469 and contains ZERO nulls or blanks. That was the specific risk raised and it is properly closed.</w:t>
      </w:r>
    </w:p>
    <w:p>
      <w:pPr>
        <w:spacing w:after="40"/>
        <w:ind w:left="360"/>
      </w:pPr>
      <w:r>
        <w:t xml:space="preserve">- priceChangePct is confirmed from code as (valCy/qtyCy) / (valLy/qtyLy) - 1 - a mix-contaminated realized price, distinct from the mix-free Laspeyres index, and the two are not currently shown together.</w:t>
      </w:r>
    </w:p>
    <w:p>
      <w:pPr>
        <w:spacing w:after="40"/>
        <w:ind w:left="360"/>
      </w:pPr>
      <w:r>
        <w:t xml:space="preserve">- The scheme systems are described: System B is config/scheme_master.json with 13 schemes, bundled at build, read only by nudge.ts.</w:t>
      </w:r>
    </w:p>
    <w:p>
      <w:pPr>
        <w:pStyle w:val="Heading1"/>
        <w:spacing w:after="100" w:before="240"/>
      </w:pPr>
      <w:r>
        <w:rPr>
          <w:b/>
          <w:bCs/>
        </w:rPr>
        <w:t xml:space="preserve">What did not hold</w:t>
      </w:r>
    </w:p>
    <w:p>
      <w:pPr>
        <w:pStyle w:val="Heading2"/>
        <w:spacing w:after="65" w:before="180"/>
      </w:pPr>
      <w:r>
        <w:rPr>
          <w:b/>
          <w:bCs/>
        </w:rPr>
        <w:t xml:space="preserve">1. Item 4's explanation contradicts its own timeline</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H-2 states that 'the O1-F session ran in Q1 calendar time (April-June 2026)'. O1-F ran in JULY 2026. By the function's own mapping - Q1 is months 4 to 6, Q2 is months 7 to 9 - July is Q2, so a no-q call would have resolved to Q2 and returned 13, not 219.</w:t>
      </w:r>
    </w:p>
    <w:p>
      <w:pPr>
        <w:spacing w:after="100"/>
      </w:pPr>
      <w:r>
        <w:t xml:space="preserve">The double-counting story is also unsupported. FY2024-25 has zero non-current rows and FY2025-26 has two, totalling Rs 25,215. The FY2026-27 superseded row count is never given - and that is the only figure that could account for 148 nudges disappearing. The 219 is additionally marked 'inferred', not measured. So the reconciliation is a hypothesis presented as a conclusion.</w:t>
      </w:r>
    </w:p>
    <w:p>
      <w:pPr>
        <w:pStyle w:val="Heading2"/>
        <w:spacing w:after="65" w:before="180"/>
      </w:pPr>
      <w:r>
        <w:rPr>
          <w:b/>
          <w:bCs/>
        </w:rPr>
        <w:t xml:space="preserve">2. getCurrentQuarter reads the wall clock</w:t>
      </w:r>
    </w:p>
    <w:p>
      <w:pPr>
        <w:spacing w:after="100"/>
      </w:pPr>
      <w:r>
        <w:t xml:space="preserve">The same API call returns a different quarter depending on the day it runs, silently. This is the same defect class as Phase 3-C, where the visit plan measured elapsed time from today() rather than from the data cutoff. A report run on 30 June and one run on 1 July would disagree with no indication why.</w:t>
      </w:r>
    </w:p>
    <w:p>
      <w:pPr>
        <w:pStyle w:val="Heading2"/>
        <w:spacing w:after="65" w:before="180"/>
      </w:pPr>
      <w:r>
        <w:rPr>
          <w:b/>
          <w:bCs/>
        </w:rPr>
        <w:t xml:space="preserve">3. Sandeep Dadheech's count cannot be right in both places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tcMar>
              <w:top w:type="dxa" w:w="50"/>
              <w:left w:type="dxa" w:w="80"/>
              <w:bottom w:type="dxa" w:w="50"/>
              <w:right w:type="dxa" w:w="80"/>
            </w:tcMar>
          </w:tcPr>
          <w:p>
            <w:r>
              <w:rPr>
                <w:b/>
                <w:bCs/>
                <w:sz w:val="17"/>
                <w:szCs w:val="17"/>
              </w:rPr>
              <w:t xml:space="preserve">Head</w:t>
            </w:r>
          </w:p>
        </w:tc>
        <w:tc>
          <w:tcPr>
            <w:tcW w:type="pct" w:w="24%"/>
            <w:tcMar>
              <w:top w:type="dxa" w:w="50"/>
              <w:left w:type="dxa" w:w="80"/>
              <w:bottom w:type="dxa" w:w="50"/>
              <w:right w:type="dxa" w:w="80"/>
            </w:tcMar>
          </w:tcPr>
          <w:p>
            <w:r>
              <w:rPr>
                <w:b/>
                <w:bCs/>
                <w:sz w:val="17"/>
                <w:szCs w:val="17"/>
              </w:rPr>
              <w:t xml:space="preserve">Current year only (H-2)</w:t>
            </w:r>
          </w:p>
        </w:tc>
        <w:tc>
          <w:tcPr>
            <w:tcW w:type="pct" w:w="24%"/>
            <w:tcMar>
              <w:top w:type="dxa" w:w="50"/>
              <w:left w:type="dxa" w:w="80"/>
              <w:bottom w:type="dxa" w:w="50"/>
              <w:right w:type="dxa" w:w="80"/>
            </w:tcMar>
          </w:tcPr>
          <w:p>
            <w:r>
              <w:rPr>
                <w:b/>
                <w:bCs/>
                <w:sz w:val="17"/>
                <w:szCs w:val="17"/>
              </w:rPr>
              <w:t xml:space="preserve">Two-year union (O1-G)</w:t>
            </w:r>
          </w:p>
        </w:tc>
        <w:tc>
          <w:tcPr>
            <w:tcW w:type="pct" w:w="24%"/>
            <w:tcMar>
              <w:top w:type="dxa" w:w="50"/>
              <w:left w:type="dxa" w:w="80"/>
              <w:bottom w:type="dxa" w:w="50"/>
              <w:right w:type="dxa" w:w="80"/>
            </w:tcMar>
          </w:tcPr>
          <w:p>
            <w:r>
              <w:rPr>
                <w:b/>
                <w:bCs/>
                <w:sz w:val="17"/>
                <w:szCs w:val="17"/>
              </w:rPr>
              <w:t xml:space="preserve">Change</w:t>
            </w:r>
          </w:p>
        </w:tc>
      </w:tr>
      <w:tr>
        <w:trPr>
          <w:tblHeader w:val="false"/>
        </w:trPr>
        <w:tc>
          <w:tcPr>
            <w:tcW w:type="pct" w:w="28%"/>
            <w:tcMar>
              <w:top w:type="dxa" w:w="50"/>
              <w:left w:type="dxa" w:w="80"/>
              <w:bottom w:type="dxa" w:w="50"/>
              <w:right w:type="dxa" w:w="80"/>
            </w:tcMar>
          </w:tcPr>
          <w:p>
            <w:r>
              <w:rPr>
                <w:b w:val="false"/>
                <w:bCs w:val="false"/>
                <w:sz w:val="17"/>
                <w:szCs w:val="17"/>
              </w:rPr>
              <w:t xml:space="preserve">Anant Singh</w:t>
            </w:r>
          </w:p>
        </w:tc>
        <w:tc>
          <w:tcPr>
            <w:tcW w:type="pct" w:w="24%"/>
            <w:tcMar>
              <w:top w:type="dxa" w:w="50"/>
              <w:left w:type="dxa" w:w="80"/>
              <w:bottom w:type="dxa" w:w="50"/>
              <w:right w:type="dxa" w:w="80"/>
            </w:tcMar>
          </w:tcPr>
          <w:p>
            <w:r>
              <w:rPr>
                <w:b w:val="false"/>
                <w:bCs w:val="false"/>
                <w:sz w:val="17"/>
                <w:szCs w:val="17"/>
              </w:rPr>
              <w:t xml:space="preserve">28</w:t>
            </w:r>
          </w:p>
        </w:tc>
        <w:tc>
          <w:tcPr>
            <w:tcW w:type="pct" w:w="24%"/>
            <w:tcMar>
              <w:top w:type="dxa" w:w="50"/>
              <w:left w:type="dxa" w:w="80"/>
              <w:bottom w:type="dxa" w:w="50"/>
              <w:right w:type="dxa" w:w="80"/>
            </w:tcMar>
          </w:tcPr>
          <w:p>
            <w:r>
              <w:rPr>
                <w:b w:val="false"/>
                <w:bCs w:val="false"/>
                <w:sz w:val="17"/>
                <w:szCs w:val="17"/>
              </w:rPr>
              <w:t xml:space="preserve">51</w:t>
            </w:r>
          </w:p>
        </w:tc>
        <w:tc>
          <w:tcPr>
            <w:tcW w:type="pct" w:w="24%"/>
            <w:tcMar>
              <w:top w:type="dxa" w:w="50"/>
              <w:left w:type="dxa" w:w="80"/>
              <w:bottom w:type="dxa" w:w="50"/>
              <w:right w:type="dxa" w:w="80"/>
            </w:tcMar>
          </w:tcPr>
          <w:p>
            <w:r>
              <w:rPr>
                <w:b w:val="false"/>
                <w:bCs w:val="false"/>
                <w:sz w:val="17"/>
                <w:szCs w:val="17"/>
              </w:rPr>
              <w:t xml:space="preserve">+82 percent</w:t>
            </w:r>
          </w:p>
        </w:tc>
      </w:tr>
      <w:tr>
        <w:trPr>
          <w:tblHeader w:val="false"/>
        </w:trPr>
        <w:tc>
          <w:tcPr>
            <w:tcW w:type="pct" w:w="28%"/>
            <w:tcMar>
              <w:top w:type="dxa" w:w="50"/>
              <w:left w:type="dxa" w:w="80"/>
              <w:bottom w:type="dxa" w:w="50"/>
              <w:right w:type="dxa" w:w="80"/>
            </w:tcMar>
          </w:tcPr>
          <w:p>
            <w:r>
              <w:rPr>
                <w:b w:val="false"/>
                <w:bCs w:val="false"/>
                <w:sz w:val="17"/>
                <w:szCs w:val="17"/>
              </w:rPr>
              <w:t xml:space="preserve">Sandeep Dadheech</w:t>
            </w:r>
          </w:p>
        </w:tc>
        <w:tc>
          <w:tcPr>
            <w:tcW w:type="pct" w:w="24%"/>
            <w:tcMar>
              <w:top w:type="dxa" w:w="50"/>
              <w:left w:type="dxa" w:w="80"/>
              <w:bottom w:type="dxa" w:w="50"/>
              <w:right w:type="dxa" w:w="80"/>
            </w:tcMar>
          </w:tcPr>
          <w:p>
            <w:r>
              <w:rPr>
                <w:b w:val="false"/>
                <w:bCs w:val="false"/>
                <w:sz w:val="17"/>
                <w:szCs w:val="17"/>
              </w:rPr>
              <w:t xml:space="preserve">71</w:t>
            </w:r>
          </w:p>
        </w:tc>
        <w:tc>
          <w:tcPr>
            <w:tcW w:type="pct" w:w="24%"/>
            <w:tcMar>
              <w:top w:type="dxa" w:w="50"/>
              <w:left w:type="dxa" w:w="80"/>
              <w:bottom w:type="dxa" w:w="50"/>
              <w:right w:type="dxa" w:w="80"/>
            </w:tcMar>
          </w:tcPr>
          <w:p>
            <w:r>
              <w:rPr>
                <w:b w:val="false"/>
                <w:bCs w:val="false"/>
                <w:sz w:val="17"/>
                <w:szCs w:val="17"/>
              </w:rPr>
              <w:t xml:space="preserve">71</w:t>
            </w:r>
          </w:p>
        </w:tc>
        <w:tc>
          <w:tcPr>
            <w:tcW w:type="pct" w:w="24%"/>
            <w:tcMar>
              <w:top w:type="dxa" w:w="50"/>
              <w:left w:type="dxa" w:w="80"/>
              <w:bottom w:type="dxa" w:w="50"/>
              <w:right w:type="dxa" w:w="80"/>
            </w:tcMar>
          </w:tcPr>
          <w:p>
            <w:r>
              <w:rPr>
                <w:b w:val="false"/>
                <w:bCs w:val="false"/>
                <w:sz w:val="17"/>
                <w:szCs w:val="17"/>
              </w:rPr>
              <w:t xml:space="preserve">0 percent</w:t>
            </w:r>
          </w:p>
        </w:tc>
      </w:tr>
    </w:tbl>
    <w:p>
      <w:pPr>
        <w:spacing w:after="100"/>
      </w:pPr>
      <w:r>
        <w:t xml:space="preserve">The performance endpoint returns the two-year union - that is precisely why Anant Singh shows 51 rather than 28. If Sandeep grew in the same proportion his union would be roughly 129. One of those two 71s is mislabelled.</w:t>
      </w:r>
    </w:p>
    <w:p>
      <w:pPr>
        <w:pStyle w:val="Heading2"/>
        <w:spacing w:after="65" w:before="180"/>
      </w:pPr>
      <w:r>
        <w:rPr>
          <w:b/>
          <w:bCs/>
        </w:rPr>
        <w:t xml:space="preserve">And on the scheme systems</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'Authoritative for different endpoints' describes the situation rather than resolving it. The live contradiction is sharper than the report suggests: the eligibility endpoint returns an empty scheme list while 13 JSON-defined schemes are actively generating nudges. A user can read 'no schemes exist' on one screen and act on scheme nudges on another, the same afternoon.</w:t>
      </w:r>
    </w:p>
    <w:p>
      <w:pPr>
        <w:pStyle w:val="Heading1"/>
        <w:spacing w:after="100" w:before="240"/>
      </w:pPr>
      <w:r>
        <w:rPr>
          <w:b/>
          <w:bCs/>
        </w:rPr>
        <w:t xml:space="preserve">Prompt O1-I</w:t>
      </w:r>
    </w:p>
    <w:p>
      <w:pPr>
        <w:spacing w:after="20" w:before="100"/>
      </w:pPr>
      <w:r>
        <w:rPr>
          <w:b/>
          <w:bCs/>
          <w:i/>
          <w:iCs/>
          <w:color w:val="444444"/>
        </w:rPr>
        <w:t xml:space="preserve">PROMPT - O1-I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correction O1-I. Same global rules as every earlier phase. Keep the</w:t>
      </w:r>
      <w:r>
        <w:rPr>
          <w:rFonts w:ascii="Courier New" w:cs="Courier New" w:eastAsia="Courier New" w:hAnsi="Courier New"/>
          <w:sz w:val="16"/>
          <w:szCs w:val="16"/>
        </w:rPr>
        <w:br/>
        <w:t xml:space="preserve">response SHORT - tables and figures, no narrative. Items 1 and 3 are report-only;</w:t>
      </w:r>
      <w:r>
        <w:rPr>
          <w:rFonts w:ascii="Courier New" w:cs="Courier New" w:eastAsia="Courier New" w:hAnsi="Courier New"/>
          <w:sz w:val="16"/>
          <w:szCs w:val="16"/>
        </w:rPr>
        <w:br/>
        <w:t xml:space="preserve">item 2 is a small code change.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1. FINISH THE 219 RECONCILIATION - it does not currently hold.</w:t>
      </w:r>
      <w:r>
        <w:rPr>
          <w:rFonts w:ascii="Courier New" w:cs="Courier New" w:eastAsia="Courier New" w:hAnsi="Courier New"/>
          <w:sz w:val="16"/>
          <w:szCs w:val="16"/>
        </w:rPr>
        <w:br/>
        <w:t xml:space="preserve">   H-2 states the O1-F session ran in Q1 calendar time (April to June 2026). O1-F ran</w:t>
      </w:r>
      <w:r>
        <w:rPr>
          <w:rFonts w:ascii="Courier New" w:cs="Courier New" w:eastAsia="Courier New" w:hAnsi="Courier New"/>
          <w:sz w:val="16"/>
          <w:szCs w:val="16"/>
        </w:rPr>
        <w:br/>
        <w:t xml:space="preserve">   in JULY 2026. By getCurrentQuarter's own mapping - Q1 is months 4 to 6, Q2 is 7 to</w:t>
      </w:r>
      <w:r>
        <w:rPr>
          <w:rFonts w:ascii="Courier New" w:cs="Courier New" w:eastAsia="Courier New" w:hAnsi="Courier New"/>
          <w:sz w:val="16"/>
          <w:szCs w:val="16"/>
        </w:rPr>
        <w:br/>
        <w:t xml:space="preserve">   9 - July resolves to Q2, which returns 13, not 219.</w:t>
      </w:r>
      <w:r>
        <w:rPr>
          <w:rFonts w:ascii="Courier New" w:cs="Courier New" w:eastAsia="Courier New" w:hAnsi="Courier New"/>
          <w:sz w:val="16"/>
          <w:szCs w:val="16"/>
        </w:rPr>
        <w:br/>
        <w:t xml:space="preserve">   The double-counting story is also unquantified: FY2024-25 has 0 non-current rows,</w:t>
      </w:r>
      <w:r>
        <w:rPr>
          <w:rFonts w:ascii="Courier New" w:cs="Courier New" w:eastAsia="Courier New" w:hAnsi="Courier New"/>
          <w:sz w:val="16"/>
          <w:szCs w:val="16"/>
        </w:rPr>
        <w:br/>
        <w:t xml:space="preserve">   FY2025-26 has 2 totalling Rs 25,215, and the FY2026-27 count is never stated.</w:t>
      </w:r>
      <w:r>
        <w:rPr>
          <w:rFonts w:ascii="Courier New" w:cs="Courier New" w:eastAsia="Courier New" w:hAnsi="Courier New"/>
          <w:sz w:val="16"/>
          <w:szCs w:val="16"/>
        </w:rPr>
        <w:br/>
        <w:t xml:space="preserve">   Report, as figures:</w:t>
      </w:r>
      <w:r>
        <w:rPr>
          <w:rFonts w:ascii="Courier New" w:cs="Courier New" w:eastAsia="Courier New" w:hAnsi="Courier New"/>
          <w:sz w:val="16"/>
          <w:szCs w:val="16"/>
        </w:rPr>
        <w:br/>
        <w:t xml:space="preserve">     a) count and sum of non-current rows in sale_line for fy = '2026-27'</w:t>
      </w:r>
      <w:r>
        <w:rPr>
          <w:rFonts w:ascii="Courier New" w:cs="Courier New" w:eastAsia="Courier New" w:hAnsi="Courier New"/>
          <w:sz w:val="16"/>
          <w:szCs w:val="16"/>
        </w:rPr>
        <w:br/>
        <w:t xml:space="preserve">     b) how many customers' quarterly totals changed once the version filter was</w:t>
      </w:r>
      <w:r>
        <w:rPr>
          <w:rFonts w:ascii="Courier New" w:cs="Courier New" w:eastAsia="Courier New" w:hAnsi="Courier New"/>
          <w:sz w:val="16"/>
          <w:szCs w:val="16"/>
        </w:rPr>
        <w:br/>
        <w:t xml:space="preserve">        applied, and by how much in aggregate</w:t>
      </w:r>
      <w:r>
        <w:rPr>
          <w:rFonts w:ascii="Courier New" w:cs="Courier New" w:eastAsia="Courier New" w:hAnsi="Courier New"/>
          <w:sz w:val="16"/>
          <w:szCs w:val="16"/>
        </w:rPr>
        <w:br/>
        <w:t xml:space="preserve">     c) whether 148 nudges disappearing is arithmetically consistent with (a) and (b)</w:t>
      </w:r>
      <w:r>
        <w:rPr>
          <w:rFonts w:ascii="Courier New" w:cs="Courier New" w:eastAsia="Courier New" w:hAnsi="Courier New"/>
          <w:sz w:val="16"/>
          <w:szCs w:val="16"/>
        </w:rPr>
        <w:br/>
        <w:t xml:space="preserve">     d) if it is not, what else changed between the 219 call and the 71 call</w:t>
      </w:r>
      <w:r>
        <w:rPr>
          <w:rFonts w:ascii="Courier New" w:cs="Courier New" w:eastAsia="Courier New" w:hAnsi="Courier New"/>
          <w:sz w:val="16"/>
          <w:szCs w:val="16"/>
        </w:rPr>
        <w:br/>
        <w:t xml:space="preserve">   Do not restate the hypothesis. If the numbers do not support it, say so.</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2. DERIVE THE QUARTER FROM THE DATA CUTOFF, NOT THE CALENDAR.</w:t>
      </w:r>
      <w:r>
        <w:rPr>
          <w:rFonts w:ascii="Courier New" w:cs="Courier New" w:eastAsia="Courier New" w:hAnsi="Courier New"/>
          <w:sz w:val="16"/>
          <w:szCs w:val="16"/>
        </w:rPr>
        <w:br/>
        <w:t xml:space="preserve">   parseQ falls back to getCurrentQuarter, which reads the wall clock. The same call</w:t>
      </w:r>
      <w:r>
        <w:rPr>
          <w:rFonts w:ascii="Courier New" w:cs="Courier New" w:eastAsia="Courier New" w:hAnsi="Courier New"/>
          <w:sz w:val="16"/>
          <w:szCs w:val="16"/>
        </w:rPr>
        <w:br/>
        <w:t xml:space="preserve">   therefore returns a different quarter on different days with no indication. This is</w:t>
      </w:r>
      <w:r>
        <w:rPr>
          <w:rFonts w:ascii="Courier New" w:cs="Courier New" w:eastAsia="Courier New" w:hAnsi="Courier New"/>
          <w:sz w:val="16"/>
          <w:szCs w:val="16"/>
        </w:rPr>
        <w:br/>
        <w:t xml:space="preserve">   the same defect as the visit plan measuring elapsed time from today() instead of</w:t>
      </w:r>
      <w:r>
        <w:rPr>
          <w:rFonts w:ascii="Courier New" w:cs="Courier New" w:eastAsia="Courier New" w:hAnsi="Courier New"/>
          <w:sz w:val="16"/>
          <w:szCs w:val="16"/>
        </w:rPr>
        <w:br/>
        <w:t xml:space="preserve">   the data cutoff - a rule already established elsewhere in this app.</w:t>
      </w:r>
      <w:r>
        <w:rPr>
          <w:rFonts w:ascii="Courier New" w:cs="Courier New" w:eastAsia="Courier New" w:hAnsi="Courier New"/>
          <w:sz w:val="16"/>
          <w:szCs w:val="16"/>
        </w:rPr>
        <w:br/>
        <w:t xml:space="preserve">   Change the default so an absent q resolves from the DATA CUTOFF for that fiscal</w:t>
      </w:r>
      <w:r>
        <w:rPr>
          <w:rFonts w:ascii="Courier New" w:cs="Courier New" w:eastAsia="Courier New" w:hAnsi="Courier New"/>
          <w:sz w:val="16"/>
          <w:szCs w:val="16"/>
        </w:rPr>
        <w:br/>
        <w:t xml:space="preserve">   year. Show the resolved quarter and the cutoff it came from in the API response, so</w:t>
      </w:r>
      <w:r>
        <w:rPr>
          <w:rFonts w:ascii="Courier New" w:cs="Courier New" w:eastAsia="Courier New" w:hAnsi="Courier New"/>
          <w:sz w:val="16"/>
          <w:szCs w:val="16"/>
        </w:rPr>
        <w:br/>
        <w:t xml:space="preserve">   a caller can see which period they received.</w:t>
      </w:r>
      <w:r>
        <w:rPr>
          <w:rFonts w:ascii="Courier New" w:cs="Courier New" w:eastAsia="Courier New" w:hAnsi="Courier New"/>
          <w:sz w:val="16"/>
          <w:szCs w:val="16"/>
        </w:rPr>
        <w:br/>
        <w:t xml:space="preserve">   Report the resolved quarter before and after the change.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3. RESOLVE THE SANDEEP DADHEECH DISCREPANCY.</w:t>
      </w:r>
      <w:r>
        <w:rPr>
          <w:rFonts w:ascii="Courier New" w:cs="Courier New" w:eastAsia="Courier New" w:hAnsi="Courier New"/>
          <w:sz w:val="16"/>
          <w:szCs w:val="16"/>
        </w:rPr>
        <w:br/>
        <w:t xml:space="preserve">   O1-G reported 71 rows for head=Sandeep+Dadheech from /api/customers/performance,</w:t>
      </w:r>
      <w:r>
        <w:rPr>
          <w:rFonts w:ascii="Courier New" w:cs="Courier New" w:eastAsia="Courier New" w:hAnsi="Courier New"/>
          <w:sz w:val="16"/>
          <w:szCs w:val="16"/>
        </w:rPr>
        <w:br/>
        <w:t xml:space="preserve">   which returns the TWO-YEAR union. H-2 reports 71 customers for Sandeep Dadheech in</w:t>
      </w:r>
      <w:r>
        <w:rPr>
          <w:rFonts w:ascii="Courier New" w:cs="Courier New" w:eastAsia="Courier New" w:hAnsi="Courier New"/>
          <w:sz w:val="16"/>
          <w:szCs w:val="16"/>
        </w:rPr>
        <w:br/>
        <w:t xml:space="preserve">   FY2026-27 ALONE. Anant Singh moves 28 to 51 between those two bases; Sandeep cannot</w:t>
      </w:r>
      <w:r>
        <w:rPr>
          <w:rFonts w:ascii="Courier New" w:cs="Courier New" w:eastAsia="Courier New" w:hAnsi="Courier New"/>
          <w:sz w:val="16"/>
          <w:szCs w:val="16"/>
        </w:rPr>
        <w:br/>
        <w:t xml:space="preserve">   stay at 71 on both.</w:t>
      </w:r>
      <w:r>
        <w:rPr>
          <w:rFonts w:ascii="Courier New" w:cs="Courier New" w:eastAsia="Courier New" w:hAnsi="Courier New"/>
          <w:sz w:val="16"/>
          <w:szCs w:val="16"/>
        </w:rPr>
        <w:br/>
        <w:t xml:space="preserve">   Report, as one table for BOTH heads: current-year-only count, prior-year-only count,</w:t>
      </w:r>
      <w:r>
        <w:rPr>
          <w:rFonts w:ascii="Courier New" w:cs="Courier New" w:eastAsia="Courier New" w:hAnsi="Courier New"/>
          <w:sz w:val="16"/>
          <w:szCs w:val="16"/>
        </w:rPr>
        <w:br/>
        <w:t xml:space="preserve">   and two-year union count. State which of the two 71s was mislabelled.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w:t>
      </w:r>
      <w:r>
        <w:rPr>
          <w:rFonts w:ascii="Courier New" w:cs="Courier New" w:eastAsia="Courier New" w:hAnsi="Courier New"/>
          <w:sz w:val="16"/>
          <w:szCs w:val="16"/>
        </w:rPr>
        <w:br/>
        <w:t xml:space="preserve">  the FY2026-27 non-current row count and sum are stated</w:t>
      </w:r>
      <w:r>
        <w:rPr>
          <w:rFonts w:ascii="Courier New" w:cs="Courier New" w:eastAsia="Courier New" w:hAnsi="Courier New"/>
          <w:sz w:val="16"/>
          <w:szCs w:val="16"/>
        </w:rPr>
        <w:br/>
        <w:t xml:space="preserve">  the 219 figure is either explained with supporting numbers, or declared unexplained</w:t>
      </w:r>
      <w:r>
        <w:rPr>
          <w:rFonts w:ascii="Courier New" w:cs="Courier New" w:eastAsia="Courier New" w:hAnsi="Courier New"/>
          <w:sz w:val="16"/>
          <w:szCs w:val="16"/>
        </w:rPr>
        <w:br/>
        <w:t xml:space="preserve">  an absent q resolves from the data cutoff, and the response reports which quarter</w:t>
      </w:r>
      <w:r>
        <w:rPr>
          <w:rFonts w:ascii="Courier New" w:cs="Courier New" w:eastAsia="Courier New" w:hAnsi="Courier New"/>
          <w:sz w:val="16"/>
          <w:szCs w:val="16"/>
        </w:rPr>
        <w:br/>
        <w:t xml:space="preserve">    and which cutoff it used</w:t>
      </w:r>
      <w:r>
        <w:rPr>
          <w:rFonts w:ascii="Courier New" w:cs="Courier New" w:eastAsia="Courier New" w:hAnsi="Courier New"/>
          <w:sz w:val="16"/>
          <w:szCs w:val="16"/>
        </w:rPr>
        <w:br/>
        <w:t xml:space="preserve">  the Sandeep table shows CY, LY and union counts, and names the mislabelled figure</w:t>
      </w:r>
      <w:r>
        <w:rPr>
          <w:rFonts w:ascii="Courier New" w:cs="Courier New" w:eastAsia="Courier New" w:hAnsi="Courier New"/>
          <w:sz w:val="16"/>
          <w:szCs w:val="16"/>
        </w:rPr>
        <w:br/>
        <w:t xml:space="preserve">  no other figure moves - FY2024-25 stays Rs 341.14 Cr and FY2025-26 Rs 359.52 Cr</w:t>
      </w:r>
    </w:p>
    <w:p>
      <w:pPr>
        <w:pStyle w:val="Heading1"/>
        <w:spacing w:after="100" w:before="240"/>
      </w:pPr>
      <w:r>
        <w:rPr>
          <w:b/>
          <w:bCs/>
        </w:rPr>
        <w:t xml:space="preserve">Carry forward regardless of the above</w:t>
      </w:r>
    </w:p>
    <w:p>
      <w:pPr>
        <w:spacing w:after="100"/>
      </w:pPr>
      <w:r>
        <w:t xml:space="preserve">Item 3 of H-2 produced the most valuable finding in this whole sequence, and it needs to travel into the AI Analytics work rather than sit in this thread:</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164 customers - 35 percent of the FY2026-27 population, Rs 6.08 Cr - carry head_canon = 'Non-territory / Project / Govt'. They appear in company-wide views and vanish from every named-head view. Any per-head analysis, including every report the AI Analytics page will generate, covers only 305 of 469 customers unless that bucket is handled explicitly.</w:t>
      </w:r>
    </w:p>
    <w:p>
      <w:pPr>
        <w:spacing w:after="40"/>
        <w:ind w:left="360"/>
      </w:pPr>
      <w:r>
        <w:t xml:space="preserve">- The A1 payload contract should carry this as a data-quality flag, in the same way as UNASSIGNED_RETAILERS, so any generated report states its own coverage.</w:t>
      </w:r>
    </w:p>
    <w:p>
      <w:pPr>
        <w:spacing w:after="40"/>
        <w:ind w:left="360"/>
      </w:pPr>
      <w:r>
        <w:t xml:space="preserve">- A State Head report that silently omits 35 percent of customers is exactly the kind of confident, incomplete document the numeric guard cannot catch - because every figure in it would be correct for the population it covers.</w:t>
      </w:r>
    </w:p>
    <w:p>
      <w:pPr>
        <w:spacing w:after="40"/>
        <w:ind w:left="360"/>
      </w:pPr>
      <w:r>
        <w:t xml:space="preserve">- Two smaller items also belong in that flag set: the direct-dealer filter returns zero for every fiscal year because type_raw holds product groups, and customer_master is empty, so the Confirmed-versus-Guessed mapping panel specified for the Distributor Deep Dive has no source.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O1-I</dc:title>
  <dc:creator>Prayag AI Team</dc:creator>
  <cp:lastModifiedBy>Un-named</cp:lastModifiedBy>
  <cp:revision>1</cp:revision>
  <dcterms:created xsi:type="dcterms:W3CDTF">2026-07-24T12:10:21.960Z</dcterms:created>
  <dcterms:modified xsi:type="dcterms:W3CDTF">2026-07-24T12:10:21.972Z</dcterms:modified>
</cp:coreProperties>
</file>

<file path=docProps/custom.xml><?xml version="1.0" encoding="utf-8"?>
<Properties xmlns="http://schemas.openxmlformats.org/officeDocument/2006/custom-properties" xmlns:vt="http://schemas.openxmlformats.org/officeDocument/2006/docPropsVTypes"/>
</file>