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8"/>
        </w:rPr>
        <w:t>Guard Failure Analysis</w:t>
      </w:r>
    </w:p>
    <w:p>
      <w:pPr>
        <w:jc w:val="center"/>
      </w:pPr>
      <w:r>
        <w:rPr>
          <w:i/>
        </w:rPr>
        <w:t>Prayag Sales Intelligence — 13 September 2026</w:t>
      </w:r>
    </w:p>
    <w:p>
      <w:pPr>
        <w:jc w:val="center"/>
      </w:pPr>
      <w:r>
        <w:rPr>
          <w:color w:val="5A5A5A"/>
        </w:rPr>
        <w:t>Post-publish workflow, production audit, and manifest assessment</w:t>
      </w:r>
    </w:p>
    <w:p>
      <w:pPr>
        <w:pStyle w:val="Heading1"/>
      </w:pPr>
      <w:r>
        <w:t>Executive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Workflow / check</w:t>
            </w:r>
          </w:p>
        </w:tc>
        <w:tc>
          <w:tcPr>
            <w:tcW w:type="dxa" w:w="3408"/>
            <w:shd w:fill="D9EAF7"/>
            <w:vAlign w:val="center"/>
          </w:tcPr>
          <w:p>
            <w:r>
              <w:rPr>
                <w:b/>
              </w:rPr>
              <w:t>Current result</w:t>
            </w:r>
          </w:p>
        </w:tc>
        <w:tc>
          <w:tcPr>
            <w:tcW w:type="dxa" w:w="3408"/>
            <w:shd w:fill="D9EAF7"/>
            <w:vAlign w:val="center"/>
          </w:tcPr>
          <w:p>
            <w:r>
              <w:rPr>
                <w:b/>
              </w:rPr>
              <w:t>Classification</w:t>
            </w:r>
          </w:p>
        </w:tc>
      </w:tr>
      <w:tr>
        <w:tc>
          <w:tcPr>
            <w:tcW w:type="dxa" w:w="3408"/>
            <w:vAlign w:val="center"/>
          </w:tcPr>
          <w:p>
            <w:r>
              <w:t>comparison-guards</w:t>
            </w:r>
          </w:p>
        </w:tc>
        <w:tc>
          <w:tcPr>
            <w:tcW w:type="dxa" w:w="3408"/>
            <w:vAlign w:val="center"/>
          </w:tcPr>
          <w:p>
            <w:r>
              <w:t>Dev Aug-26 SKU rows 8,602 vs floor 19,417</w:t>
            </w:r>
          </w:p>
        </w:tc>
        <w:tc>
          <w:tcPr>
            <w:tcW w:type="dxa" w:w="3408"/>
            <w:vAlign w:val="center"/>
          </w:tcPr>
          <w:p>
            <w:r>
              <w:t>REAL FINDING</w:t>
            </w:r>
          </w:p>
        </w:tc>
      </w:tr>
      <w:tr>
        <w:tc>
          <w:tcPr>
            <w:tcW w:type="dxa" w:w="3408"/>
            <w:vAlign w:val="center"/>
          </w:tcPr>
          <w:p>
            <w:r>
              <w:t>Production Audit Group 12</w:t>
            </w:r>
          </w:p>
        </w:tc>
        <w:tc>
          <w:tcPr>
            <w:tcW w:type="dxa" w:w="3408"/>
            <w:vAlign w:val="center"/>
          </w:tcPr>
          <w:p>
            <w:r>
              <w:t>Prod Aug-26 SKU rows 0 vs floor 19,417</w:t>
            </w:r>
          </w:p>
        </w:tc>
        <w:tc>
          <w:tcPr>
            <w:tcW w:type="dxa" w:w="3408"/>
            <w:vAlign w:val="center"/>
          </w:tcPr>
          <w:p>
            <w:r>
              <w:t>REAL — MORE SEVERE</w:t>
            </w:r>
          </w:p>
        </w:tc>
      </w:tr>
      <w:tr>
        <w:tc>
          <w:tcPr>
            <w:tcW w:type="dxa" w:w="3408"/>
            <w:vAlign w:val="center"/>
          </w:tcPr>
          <w:p>
            <w:r>
              <w:t>growth-report-guards</w:t>
            </w:r>
          </w:p>
        </w:tc>
        <w:tc>
          <w:tcPr>
            <w:tcW w:type="dxa" w:w="3408"/>
            <w:vAlign w:val="center"/>
          </w:tcPr>
          <w:p>
            <w:r>
              <w:t>Disposable server cannot load thread-stream-worker.mjs</w:t>
            </w:r>
          </w:p>
        </w:tc>
        <w:tc>
          <w:tcPr>
            <w:tcW w:type="dxa" w:w="3408"/>
            <w:vAlign w:val="center"/>
          </w:tcPr>
          <w:p>
            <w:r>
              <w:t>BROKEN GUARD RUNNER</w:t>
            </w:r>
          </w:p>
        </w:tc>
      </w:tr>
      <w:tr>
        <w:tc>
          <w:tcPr>
            <w:tcW w:type="dxa" w:w="3408"/>
            <w:vAlign w:val="center"/>
          </w:tcPr>
          <w:p>
            <w:r>
              <w:t>schemes-nudge-guards</w:t>
            </w:r>
          </w:p>
        </w:tc>
        <w:tc>
          <w:tcPr>
            <w:tcW w:type="dxa" w:w="3408"/>
            <w:vAlign w:val="center"/>
          </w:tcPr>
          <w:p>
            <w:r>
              <w:t>Same disposable-server worker failure</w:t>
            </w:r>
          </w:p>
        </w:tc>
        <w:tc>
          <w:tcPr>
            <w:tcW w:type="dxa" w:w="3408"/>
            <w:vAlign w:val="center"/>
          </w:tcPr>
          <w:p>
            <w:r>
              <w:t>BROKEN GUARD RUNNER</w:t>
            </w:r>
          </w:p>
        </w:tc>
      </w:tr>
      <w:tr>
        <w:tc>
          <w:tcPr>
            <w:tcW w:type="dxa" w:w="3408"/>
            <w:vAlign w:val="center"/>
          </w:tcPr>
          <w:p>
            <w:r>
              <w:t>type-check-guards</w:t>
            </w:r>
          </w:p>
        </w:tc>
        <w:tc>
          <w:tcPr>
            <w:tcW w:type="dxa" w:w="3408"/>
            <w:vAlign w:val="center"/>
          </w:tcPr>
          <w:p>
            <w:r>
              <w:t>Two TS18047 errors in Operating Guide chart</w:t>
            </w:r>
          </w:p>
        </w:tc>
        <w:tc>
          <w:tcPr>
            <w:tcW w:type="dxa" w:w="3408"/>
            <w:vAlign w:val="center"/>
          </w:tcPr>
          <w:p>
            <w:r>
              <w:t>REAL CODE DEFECT</w:t>
            </w:r>
          </w:p>
        </w:tc>
      </w:tr>
      <w:tr>
        <w:tc>
          <w:tcPr>
            <w:tcW w:type="dxa" w:w="3408"/>
            <w:vAlign w:val="center"/>
          </w:tcPr>
          <w:p>
            <w:r>
              <w:t>Audit Group 6 report_logic</w:t>
            </w:r>
          </w:p>
        </w:tc>
        <w:tc>
          <w:tcPr>
            <w:tcW w:type="dxa" w:w="3408"/>
            <w:vAlign w:val="center"/>
          </w:tcPr>
          <w:p>
            <w:r>
              <w:t>Two prior-year anchors fail</w:t>
            </w:r>
          </w:p>
        </w:tc>
        <w:tc>
          <w:tcPr>
            <w:tcW w:type="dxa" w:w="3408"/>
            <w:vAlign w:val="center"/>
          </w:tcPr>
          <w:p>
            <w:r>
              <w:t>STALE EXPECTATIONS; MANIFEST WORKING</w:t>
            </w:r>
          </w:p>
        </w:tc>
      </w:tr>
      <w:tr>
        <w:tc>
          <w:tcPr>
            <w:tcW w:type="dxa" w:w="3408"/>
            <w:vAlign w:val="center"/>
          </w:tcPr>
          <w:p>
            <w:r>
              <w:t>Date-signature guard</w:t>
            </w:r>
          </w:p>
        </w:tc>
        <w:tc>
          <w:tcPr>
            <w:tcW w:type="dxa" w:w="3408"/>
            <w:vAlign w:val="center"/>
          </w:tcPr>
          <w:p>
            <w:r>
              <w:t>No current failure</w:t>
            </w:r>
          </w:p>
        </w:tc>
        <w:tc>
          <w:tcPr>
            <w:tcW w:type="dxa" w:w="3408"/>
            <w:vAlign w:val="center"/>
          </w:tcPr>
          <w:p>
            <w:r>
              <w:t>PASSING</w:t>
            </w:r>
          </w:p>
        </w:tc>
      </w:tr>
      <w:tr>
        <w:tc>
          <w:tcPr>
            <w:tcW w:type="dxa" w:w="3408"/>
            <w:vAlign w:val="center"/>
          </w:tcPr>
          <w:p>
            <w:r>
              <w:t>Frozen drift / Group 10</w:t>
            </w:r>
          </w:p>
        </w:tc>
        <w:tc>
          <w:tcPr>
            <w:tcW w:type="dxa" w:w="3408"/>
            <w:vAlign w:val="center"/>
          </w:tcPr>
          <w:p>
            <w:r>
              <w:t>No current failure</w:t>
            </w:r>
          </w:p>
        </w:tc>
        <w:tc>
          <w:tcPr>
            <w:tcW w:type="dxa" w:w="3408"/>
            <w:vAlign w:val="center"/>
          </w:tcPr>
          <w:p>
            <w:r>
              <w:t>PASSING</w:t>
            </w:r>
          </w:p>
        </w:tc>
      </w:tr>
    </w:tbl>
    <w:p>
      <w:pPr>
        <w:spacing w:after="40"/>
      </w:pPr>
    </w:p>
    <w:p>
      <w:r>
        <w:rPr>
          <w:b/>
        </w:rPr>
        <w:t xml:space="preserve">Correction: </w:t>
      </w:r>
      <w:r>
        <w:t>A serving application does not make failed guards acceptable. Each failure below is classified by whether it found a data/code problem or failed to perform its own checks.</w:t>
      </w:r>
    </w:p>
    <w:p>
      <w:pPr>
        <w:pStyle w:val="Heading1"/>
      </w:pPr>
      <w:r>
        <w:t>1. comparison-guards</w:t>
      </w:r>
    </w:p>
    <w:p>
      <w:pPr>
        <w:pStyle w:val="Heading2"/>
      </w:pPr>
      <w:r>
        <w:t>What it checks</w:t>
      </w:r>
    </w:p>
    <w:p>
      <w:pPr>
        <w:pStyle w:val="ListBullet"/>
      </w:pPr>
      <w:r>
        <w:t>Comparison cost-cell semantics</w:t>
      </w:r>
    </w:p>
    <w:p>
      <w:pPr>
        <w:pStyle w:val="ListBullet"/>
      </w:pPr>
      <w:r>
        <w:t>Distributor tabs and directory behavior</w:t>
      </w:r>
    </w:p>
    <w:p>
      <w:pPr>
        <w:pStyle w:val="ListBullet"/>
      </w:pPr>
      <w:r>
        <w:t>Name normalization</w:t>
      </w:r>
    </w:p>
    <w:p>
      <w:pPr>
        <w:pStyle w:val="ListBullet"/>
      </w:pPr>
      <w:r>
        <w:t>Growth Report activation and open-FY wipe protection</w:t>
      </w:r>
    </w:p>
    <w:p>
      <w:pPr>
        <w:pStyle w:val="ListBullet"/>
      </w:pPr>
      <w:r>
        <w:t>Scheme seed data</w:t>
      </w:r>
    </w:p>
    <w:p>
      <w:pPr>
        <w:pStyle w:val="ListBullet"/>
      </w:pPr>
      <w:r>
        <w:t>Market Survey state cascades</w:t>
      </w:r>
    </w:p>
    <w:p>
      <w:pPr>
        <w:pStyle w:val="ListBullet"/>
      </w:pPr>
      <w:r>
        <w:t>Comparison, distributor-tab, and identity-key API guard scripts</w:t>
      </w:r>
    </w:p>
    <w:p>
      <w:pPr>
        <w:pStyle w:val="Heading2"/>
      </w:pPr>
      <w:r>
        <w:t>Failure and figures</w:t>
      </w:r>
    </w:p>
    <w:p>
      <w:r>
        <w:t>The workflow stopped in the shared open-FY SKU wipe canary. Each completed open-FY month must retain at least 60% of the prior FY’s like-month secondary_sku_line row count.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Month</w:t>
            </w:r>
          </w:p>
        </w:tc>
        <w:tc>
          <w:tcPr>
            <w:tcW w:type="dxa" w:w="2045"/>
            <w:shd w:fill="D9EAF7"/>
            <w:vAlign w:val="center"/>
          </w:tcPr>
          <w:p>
            <w:r>
              <w:rPr>
                <w:b/>
              </w:rPr>
              <w:t>Dev actual</w:t>
            </w:r>
          </w:p>
        </w:tc>
        <w:tc>
          <w:tcPr>
            <w:tcW w:type="dxa" w:w="2045"/>
            <w:shd w:fill="D9EAF7"/>
            <w:vAlign w:val="center"/>
          </w:tcPr>
          <w:p>
            <w:r>
              <w:rPr>
                <w:b/>
              </w:rPr>
              <w:t>Prior like-month</w:t>
            </w:r>
          </w:p>
        </w:tc>
        <w:tc>
          <w:tcPr>
            <w:tcW w:type="dxa" w:w="2045"/>
            <w:shd w:fill="D9EAF7"/>
            <w:vAlign w:val="center"/>
          </w:tcPr>
          <w:p>
            <w:r>
              <w:rPr>
                <w:b/>
              </w:rPr>
              <w:t>60% floor</w:t>
            </w:r>
          </w:p>
        </w:tc>
        <w:tc>
          <w:tcPr>
            <w:tcW w:type="dxa" w:w="2045"/>
            <w:shd w:fill="D9EAF7"/>
            <w:vAlign w:val="center"/>
          </w:tcPr>
          <w:p>
            <w:r>
              <w:rPr>
                <w:b/>
              </w:rPr>
              <w:t>Result</w:t>
            </w:r>
          </w:p>
        </w:tc>
      </w:tr>
      <w:tr>
        <w:tc>
          <w:tcPr>
            <w:tcW w:type="dxa" w:w="2045"/>
            <w:vAlign w:val="center"/>
          </w:tcPr>
          <w:p>
            <w:r>
              <w:t>Apr-26</w:t>
            </w:r>
          </w:p>
        </w:tc>
        <w:tc>
          <w:tcPr>
            <w:tcW w:type="dxa" w:w="2045"/>
            <w:vAlign w:val="center"/>
          </w:tcPr>
          <w:p>
            <w:r>
              <w:t>21,613</w:t>
            </w:r>
          </w:p>
        </w:tc>
        <w:tc>
          <w:tcPr>
            <w:tcW w:type="dxa" w:w="2045"/>
            <w:vAlign w:val="center"/>
          </w:tcPr>
          <w:p>
            <w:r>
              <w:t>23,594</w:t>
            </w:r>
          </w:p>
        </w:tc>
        <w:tc>
          <w:tcPr>
            <w:tcW w:type="dxa" w:w="2045"/>
            <w:vAlign w:val="center"/>
          </w:tcPr>
          <w:p>
            <w:r>
              <w:t>14,156</w:t>
            </w:r>
          </w:p>
        </w:tc>
        <w:tc>
          <w:tcPr>
            <w:tcW w:type="dxa" w:w="2045"/>
            <w:vAlign w:val="center"/>
          </w:tcPr>
          <w:p>
            <w:r>
              <w:t>Pass</w:t>
            </w:r>
          </w:p>
        </w:tc>
      </w:tr>
      <w:tr>
        <w:tc>
          <w:tcPr>
            <w:tcW w:type="dxa" w:w="2045"/>
            <w:vAlign w:val="center"/>
          </w:tcPr>
          <w:p>
            <w:r>
              <w:t>May-26</w:t>
            </w:r>
          </w:p>
        </w:tc>
        <w:tc>
          <w:tcPr>
            <w:tcW w:type="dxa" w:w="2045"/>
            <w:vAlign w:val="center"/>
          </w:tcPr>
          <w:p>
            <w:r>
              <w:t>31,266</w:t>
            </w:r>
          </w:p>
        </w:tc>
        <w:tc>
          <w:tcPr>
            <w:tcW w:type="dxa" w:w="2045"/>
            <w:vAlign w:val="center"/>
          </w:tcPr>
          <w:p>
            <w:r>
              <w:t>30,890</w:t>
            </w:r>
          </w:p>
        </w:tc>
        <w:tc>
          <w:tcPr>
            <w:tcW w:type="dxa" w:w="2045"/>
            <w:vAlign w:val="center"/>
          </w:tcPr>
          <w:p>
            <w:r>
              <w:t>18,534</w:t>
            </w:r>
          </w:p>
        </w:tc>
        <w:tc>
          <w:tcPr>
            <w:tcW w:type="dxa" w:w="2045"/>
            <w:vAlign w:val="center"/>
          </w:tcPr>
          <w:p>
            <w:r>
              <w:t>Pass</w:t>
            </w:r>
          </w:p>
        </w:tc>
      </w:tr>
      <w:tr>
        <w:tc>
          <w:tcPr>
            <w:tcW w:type="dxa" w:w="2045"/>
            <w:vAlign w:val="center"/>
          </w:tcPr>
          <w:p>
            <w:r>
              <w:t>Jun-26</w:t>
            </w:r>
          </w:p>
        </w:tc>
        <w:tc>
          <w:tcPr>
            <w:tcW w:type="dxa" w:w="2045"/>
            <w:vAlign w:val="center"/>
          </w:tcPr>
          <w:p>
            <w:r>
              <w:t>36,300</w:t>
            </w:r>
          </w:p>
        </w:tc>
        <w:tc>
          <w:tcPr>
            <w:tcW w:type="dxa" w:w="2045"/>
            <w:vAlign w:val="center"/>
          </w:tcPr>
          <w:p>
            <w:r>
              <w:t>31,507</w:t>
            </w:r>
          </w:p>
        </w:tc>
        <w:tc>
          <w:tcPr>
            <w:tcW w:type="dxa" w:w="2045"/>
            <w:vAlign w:val="center"/>
          </w:tcPr>
          <w:p>
            <w:r>
              <w:t>18,904</w:t>
            </w:r>
          </w:p>
        </w:tc>
        <w:tc>
          <w:tcPr>
            <w:tcW w:type="dxa" w:w="2045"/>
            <w:vAlign w:val="center"/>
          </w:tcPr>
          <w:p>
            <w:r>
              <w:t>Pass</w:t>
            </w:r>
          </w:p>
        </w:tc>
      </w:tr>
      <w:tr>
        <w:tc>
          <w:tcPr>
            <w:tcW w:type="dxa" w:w="2045"/>
            <w:vAlign w:val="center"/>
          </w:tcPr>
          <w:p>
            <w:r>
              <w:t>Jul-26</w:t>
            </w:r>
          </w:p>
        </w:tc>
        <w:tc>
          <w:tcPr>
            <w:tcW w:type="dxa" w:w="2045"/>
            <w:vAlign w:val="center"/>
          </w:tcPr>
          <w:p>
            <w:r>
              <w:t>34,147</w:t>
            </w:r>
          </w:p>
        </w:tc>
        <w:tc>
          <w:tcPr>
            <w:tcW w:type="dxa" w:w="2045"/>
            <w:vAlign w:val="center"/>
          </w:tcPr>
          <w:p>
            <w:r>
              <w:t>32,024</w:t>
            </w:r>
          </w:p>
        </w:tc>
        <w:tc>
          <w:tcPr>
            <w:tcW w:type="dxa" w:w="2045"/>
            <w:vAlign w:val="center"/>
          </w:tcPr>
          <w:p>
            <w:r>
              <w:t>19,214</w:t>
            </w:r>
          </w:p>
        </w:tc>
        <w:tc>
          <w:tcPr>
            <w:tcW w:type="dxa" w:w="2045"/>
            <w:vAlign w:val="center"/>
          </w:tcPr>
          <w:p>
            <w:r>
              <w:t>Pass</w:t>
            </w:r>
          </w:p>
        </w:tc>
      </w:tr>
      <w:tr>
        <w:tc>
          <w:tcPr>
            <w:tcW w:type="dxa" w:w="2045"/>
            <w:vAlign w:val="center"/>
          </w:tcPr>
          <w:p>
            <w:r>
              <w:t>Aug-26</w:t>
            </w:r>
          </w:p>
        </w:tc>
        <w:tc>
          <w:tcPr>
            <w:tcW w:type="dxa" w:w="2045"/>
            <w:vAlign w:val="center"/>
          </w:tcPr>
          <w:p>
            <w:r>
              <w:t>8,602</w:t>
            </w:r>
          </w:p>
        </w:tc>
        <w:tc>
          <w:tcPr>
            <w:tcW w:type="dxa" w:w="2045"/>
            <w:vAlign w:val="center"/>
          </w:tcPr>
          <w:p>
            <w:r>
              <w:t>32,362</w:t>
            </w:r>
          </w:p>
        </w:tc>
        <w:tc>
          <w:tcPr>
            <w:tcW w:type="dxa" w:w="2045"/>
            <w:vAlign w:val="center"/>
          </w:tcPr>
          <w:p>
            <w:r>
              <w:t>19,417</w:t>
            </w:r>
          </w:p>
        </w:tc>
        <w:tc>
          <w:tcPr>
            <w:tcW w:type="dxa" w:w="2045"/>
            <w:vAlign w:val="center"/>
          </w:tcPr>
          <w:p>
            <w:r>
              <w:t>FAIL</w:t>
            </w:r>
          </w:p>
        </w:tc>
      </w:tr>
    </w:tbl>
    <w:p>
      <w:pPr>
        <w:spacing w:after="40"/>
      </w:pPr>
    </w:p>
    <w:p>
      <w:pPr>
        <w:spacing w:after="40"/>
      </w:pPr>
      <w:r>
        <w:rPr>
          <w:b/>
        </w:rPr>
        <w:t xml:space="preserve">Development August coverage: </w:t>
      </w:r>
      <w:r>
        <w:t>26.6% of Aug-25, versus the required 60%</w:t>
      </w:r>
    </w:p>
    <w:p>
      <w:pPr>
        <w:spacing w:after="40"/>
      </w:pPr>
      <w:r>
        <w:rPr>
          <w:b/>
        </w:rPr>
        <w:t xml:space="preserve">Test result: </w:t>
      </w:r>
      <w:r>
        <w:t>119 passed; 1 failed</w:t>
      </w:r>
    </w:p>
    <w:p>
      <w:r>
        <w:rPr>
          <w:b/>
        </w:rPr>
        <w:t xml:space="preserve">Additional warning: </w:t>
      </w:r>
      <w:r>
        <w:t>Distributor-tab tests logged “column sl.qty does not exist” while loading category multipliers. It did not cause this workflow failure, but it indicates that test path degraded rather than cleanly exercised the multiplier query.</w:t>
      </w:r>
    </w:p>
    <w:p>
      <w:pPr>
        <w:pStyle w:val="Heading2"/>
      </w:pPr>
      <w:r>
        <w:t>Production Audit Group 12</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Month</w:t>
            </w:r>
          </w:p>
        </w:tc>
        <w:tc>
          <w:tcPr>
            <w:tcW w:type="dxa" w:w="2556"/>
            <w:shd w:fill="D9EAF7"/>
            <w:vAlign w:val="center"/>
          </w:tcPr>
          <w:p>
            <w:r>
              <w:rPr>
                <w:b/>
              </w:rPr>
              <w:t>Prod actual</w:t>
            </w:r>
          </w:p>
        </w:tc>
        <w:tc>
          <w:tcPr>
            <w:tcW w:type="dxa" w:w="2556"/>
            <w:shd w:fill="D9EAF7"/>
            <w:vAlign w:val="center"/>
          </w:tcPr>
          <w:p>
            <w:r>
              <w:rPr>
                <w:b/>
              </w:rPr>
              <w:t>Floor</w:t>
            </w:r>
          </w:p>
        </w:tc>
        <w:tc>
          <w:tcPr>
            <w:tcW w:type="dxa" w:w="2556"/>
            <w:shd w:fill="D9EAF7"/>
            <w:vAlign w:val="center"/>
          </w:tcPr>
          <w:p>
            <w:r>
              <w:rPr>
                <w:b/>
              </w:rPr>
              <w:t>Result</w:t>
            </w:r>
          </w:p>
        </w:tc>
      </w:tr>
      <w:tr>
        <w:tc>
          <w:tcPr>
            <w:tcW w:type="dxa" w:w="2556"/>
            <w:vAlign w:val="center"/>
          </w:tcPr>
          <w:p>
            <w:r>
              <w:t>Apr-26</w:t>
            </w:r>
          </w:p>
        </w:tc>
        <w:tc>
          <w:tcPr>
            <w:tcW w:type="dxa" w:w="2556"/>
            <w:vAlign w:val="center"/>
          </w:tcPr>
          <w:p>
            <w:r>
              <w:t>21,613</w:t>
            </w:r>
          </w:p>
        </w:tc>
        <w:tc>
          <w:tcPr>
            <w:tcW w:type="dxa" w:w="2556"/>
            <w:vAlign w:val="center"/>
          </w:tcPr>
          <w:p>
            <w:r>
              <w:t>14,156</w:t>
            </w:r>
          </w:p>
        </w:tc>
        <w:tc>
          <w:tcPr>
            <w:tcW w:type="dxa" w:w="2556"/>
            <w:vAlign w:val="center"/>
          </w:tcPr>
          <w:p>
            <w:r>
              <w:t>Pass</w:t>
            </w:r>
          </w:p>
        </w:tc>
      </w:tr>
      <w:tr>
        <w:tc>
          <w:tcPr>
            <w:tcW w:type="dxa" w:w="2556"/>
            <w:vAlign w:val="center"/>
          </w:tcPr>
          <w:p>
            <w:r>
              <w:t>May-26</w:t>
            </w:r>
          </w:p>
        </w:tc>
        <w:tc>
          <w:tcPr>
            <w:tcW w:type="dxa" w:w="2556"/>
            <w:vAlign w:val="center"/>
          </w:tcPr>
          <w:p>
            <w:r>
              <w:t>31,266</w:t>
            </w:r>
          </w:p>
        </w:tc>
        <w:tc>
          <w:tcPr>
            <w:tcW w:type="dxa" w:w="2556"/>
            <w:vAlign w:val="center"/>
          </w:tcPr>
          <w:p>
            <w:r>
              <w:t>18,534</w:t>
            </w:r>
          </w:p>
        </w:tc>
        <w:tc>
          <w:tcPr>
            <w:tcW w:type="dxa" w:w="2556"/>
            <w:vAlign w:val="center"/>
          </w:tcPr>
          <w:p>
            <w:r>
              <w:t>Pass</w:t>
            </w:r>
          </w:p>
        </w:tc>
      </w:tr>
      <w:tr>
        <w:tc>
          <w:tcPr>
            <w:tcW w:type="dxa" w:w="2556"/>
            <w:vAlign w:val="center"/>
          </w:tcPr>
          <w:p>
            <w:r>
              <w:t>Jun-26</w:t>
            </w:r>
          </w:p>
        </w:tc>
        <w:tc>
          <w:tcPr>
            <w:tcW w:type="dxa" w:w="2556"/>
            <w:vAlign w:val="center"/>
          </w:tcPr>
          <w:p>
            <w:r>
              <w:t>36,300</w:t>
            </w:r>
          </w:p>
        </w:tc>
        <w:tc>
          <w:tcPr>
            <w:tcW w:type="dxa" w:w="2556"/>
            <w:vAlign w:val="center"/>
          </w:tcPr>
          <w:p>
            <w:r>
              <w:t>18,904</w:t>
            </w:r>
          </w:p>
        </w:tc>
        <w:tc>
          <w:tcPr>
            <w:tcW w:type="dxa" w:w="2556"/>
            <w:vAlign w:val="center"/>
          </w:tcPr>
          <w:p>
            <w:r>
              <w:t>Pass</w:t>
            </w:r>
          </w:p>
        </w:tc>
      </w:tr>
      <w:tr>
        <w:tc>
          <w:tcPr>
            <w:tcW w:type="dxa" w:w="2556"/>
            <w:vAlign w:val="center"/>
          </w:tcPr>
          <w:p>
            <w:r>
              <w:t>Jul-26</w:t>
            </w:r>
          </w:p>
        </w:tc>
        <w:tc>
          <w:tcPr>
            <w:tcW w:type="dxa" w:w="2556"/>
            <w:vAlign w:val="center"/>
          </w:tcPr>
          <w:p>
            <w:r>
              <w:t>34,147</w:t>
            </w:r>
          </w:p>
        </w:tc>
        <w:tc>
          <w:tcPr>
            <w:tcW w:type="dxa" w:w="2556"/>
            <w:vAlign w:val="center"/>
          </w:tcPr>
          <w:p>
            <w:r>
              <w:t>19,214</w:t>
            </w:r>
          </w:p>
        </w:tc>
        <w:tc>
          <w:tcPr>
            <w:tcW w:type="dxa" w:w="2556"/>
            <w:vAlign w:val="center"/>
          </w:tcPr>
          <w:p>
            <w:r>
              <w:t>Pass</w:t>
            </w:r>
          </w:p>
        </w:tc>
      </w:tr>
      <w:tr>
        <w:tc>
          <w:tcPr>
            <w:tcW w:type="dxa" w:w="2556"/>
            <w:vAlign w:val="center"/>
          </w:tcPr>
          <w:p>
            <w:r>
              <w:t>Aug-26</w:t>
            </w:r>
          </w:p>
        </w:tc>
        <w:tc>
          <w:tcPr>
            <w:tcW w:type="dxa" w:w="2556"/>
            <w:vAlign w:val="center"/>
          </w:tcPr>
          <w:p>
            <w:r>
              <w:t>0</w:t>
            </w:r>
          </w:p>
        </w:tc>
        <w:tc>
          <w:tcPr>
            <w:tcW w:type="dxa" w:w="2556"/>
            <w:vAlign w:val="center"/>
          </w:tcPr>
          <w:p>
            <w:r>
              <w:t>19,417</w:t>
            </w:r>
          </w:p>
        </w:tc>
        <w:tc>
          <w:tcPr>
            <w:tcW w:type="dxa" w:w="2556"/>
            <w:vAlign w:val="center"/>
          </w:tcPr>
          <w:p>
            <w:r>
              <w:t>FAIL (−100%)</w:t>
            </w:r>
          </w:p>
        </w:tc>
      </w:tr>
    </w:tbl>
    <w:p>
      <w:pPr>
        <w:spacing w:after="40"/>
      </w:pPr>
    </w:p>
    <w:p>
      <w:pPr>
        <w:spacing w:after="40"/>
      </w:pPr>
      <w:r>
        <w:rPr>
          <w:b/>
        </w:rPr>
        <w:t xml:space="preserve">Aggregate completed-month check: </w:t>
      </w:r>
      <w:r>
        <w:t>123,326 actual vs 105,264 floor — passes because April–July mask August</w:t>
      </w:r>
    </w:p>
    <w:p>
      <w:pPr>
        <w:pStyle w:val="Heading2"/>
      </w:pPr>
      <w:r>
        <w:t>When it started</w:t>
      </w:r>
    </w:p>
    <w:p>
      <w:pPr>
        <w:pStyle w:val="ListBullet"/>
      </w:pPr>
      <w:r>
        <w:t>August became a completed comparison month on 1 September 2026; with the present data, the rule would have begun failing then if run.</w:t>
      </w:r>
    </w:p>
    <w:p>
      <w:pPr>
        <w:pStyle w:val="ListBullet"/>
      </w:pPr>
      <w:r>
        <w:t>Earliest retained dev workflow evidence: 13 September at 14:12:13Z.</w:t>
      </w:r>
    </w:p>
    <w:p>
      <w:pPr>
        <w:pStyle w:val="ListBullet"/>
      </w:pPr>
      <w:r>
        <w:t>That run was after earlier publish markers but before the final 14:18:15Z publish.</w:t>
      </w:r>
    </w:p>
    <w:p>
      <w:pPr>
        <w:pStyle w:val="ListBullet"/>
      </w:pPr>
      <w:r>
        <w:t>Production independently failed after the final publish at 14:22:23Z.</w:t>
      </w:r>
    </w:p>
    <w:p>
      <w:pPr>
        <w:pStyle w:val="ListBullet"/>
      </w:pPr>
      <w:r>
        <w:t>B1 and B2 did not create or modify secondary_sku_line.</w:t>
      </w:r>
    </w:p>
    <w:p>
      <w:pPr>
        <w:spacing w:after="40"/>
      </w:pPr>
      <w:r>
        <w:rPr>
          <w:b/>
        </w:rPr>
        <w:t xml:space="preserve">Classification: </w:t>
      </w:r>
      <w:r>
        <w:t>REAL FINDING. Development has a partial August load; production has no August rows.</w:t>
      </w:r>
    </w:p>
    <w:p>
      <w:pPr>
        <w:pStyle w:val="Heading1"/>
      </w:pPr>
      <w:r>
        <w:t>2. growth-report-guards</w:t>
      </w:r>
    </w:p>
    <w:p>
      <w:pPr>
        <w:pStyle w:val="Heading2"/>
      </w:pPr>
      <w:r>
        <w:t>What it checks</w:t>
      </w:r>
    </w:p>
    <w:p>
      <w:pPr>
        <w:pStyle w:val="ListBullet"/>
      </w:pPr>
      <w:r>
        <w:t>200/cache-hit or 202/async Growth Report contract</w:t>
      </w:r>
    </w:p>
    <w:p>
      <w:pPr>
        <w:pStyle w:val="ListBullet"/>
      </w:pPr>
      <w:r>
        <w:t>Async job completion</w:t>
      </w:r>
    </w:p>
    <w:p>
      <w:pPr>
        <w:pStyle w:val="ListBullet"/>
      </w:pPr>
      <w:r>
        <w:t>ACTIVATE and WIDEN secondary-retailer basis</w:t>
      </w:r>
    </w:p>
    <w:p>
      <w:pPr>
        <w:pStyle w:val="ListBullet"/>
      </w:pPr>
      <w:r>
        <w:t>Deduped value does not exceed pre-deduped value</w:t>
      </w:r>
    </w:p>
    <w:p>
      <w:pPr>
        <w:pStyle w:val="ListBullet"/>
      </w:pPr>
      <w:r>
        <w:t>CLOSE → RECOVER → ACTIVATE → WIDEN precedence</w:t>
      </w:r>
    </w:p>
    <w:p>
      <w:pPr>
        <w:pStyle w:val="ListBullet"/>
      </w:pPr>
      <w:r>
        <w:t>No conflicting lever assignment per entity</w:t>
      </w:r>
    </w:p>
    <w:p>
      <w:pPr>
        <w:pStyle w:val="ListBullet"/>
      </w:pPr>
      <w:r>
        <w:t>Non-empty whereNotToLook section</w:t>
      </w:r>
    </w:p>
    <w:p>
      <w:pPr>
        <w:pStyle w:val="ListBullet"/>
      </w:pPr>
      <w:r>
        <w:t>Numeric guard evaluated at least one figure</w:t>
      </w:r>
    </w:p>
    <w:p>
      <w:pPr>
        <w:pStyle w:val="Heading2"/>
      </w:pPr>
      <w:r>
        <w:t>Failure</w:t>
      </w:r>
    </w:p>
    <w:p>
      <w:r>
        <w:t>No business assertion ran. The disposable API server exited before readiness:</w:t>
      </w:r>
    </w:p>
    <w:p>
      <w:pPr>
        <w:pStyle w:val="IntenseQuote"/>
      </w:pPr>
      <w:r>
        <w:t>Cannot find module artifacts/api-server/dist/thread-stream-worker.mjs</w:t>
      </w:r>
    </w:p>
    <w:p>
      <w:pPr>
        <w:pStyle w:val="ListBullet"/>
      </w:pPr>
      <w:r>
        <w:t>Current builds emit index.mjs, pino-worker.mjs, pino-file.mjs, and pino-pretty.mjs — not thread-stream-worker.mjs.</w:t>
      </w:r>
    </w:p>
    <w:p>
      <w:pPr>
        <w:pStyle w:val="ListBullet"/>
      </w:pPr>
      <w:r>
        <w:t>Parallel workflows can delete and rebuild the same dist directory between the guard’s readiness check and process startup.</w:t>
      </w:r>
    </w:p>
    <w:p>
      <w:pPr>
        <w:spacing w:after="40"/>
      </w:pPr>
      <w:r>
        <w:rPr>
          <w:b/>
        </w:rPr>
        <w:t xml:space="preserve">When it started: </w:t>
      </w:r>
      <w:r>
        <w:t>Worker-file readiness logic was introduced 23 August 2026. The runner defect predates today’s publishes; today’s observed failure began before the final publish.</w:t>
      </w:r>
    </w:p>
    <w:p>
      <w:pPr>
        <w:spacing w:after="40"/>
      </w:pPr>
      <w:r>
        <w:rPr>
          <w:b/>
        </w:rPr>
        <w:t xml:space="preserve">Classification: </w:t>
      </w:r>
      <w:r>
        <w:t>BROKEN GUARD RUNNER. It did not evaluate Growth Report behavior.</w:t>
      </w:r>
    </w:p>
    <w:p>
      <w:pPr>
        <w:pStyle w:val="Heading1"/>
      </w:pPr>
      <w:r>
        <w:t>3. schemes-nudge-guards</w:t>
      </w:r>
    </w:p>
    <w:p>
      <w:pPr>
        <w:pStyle w:val="Heading2"/>
      </w:pPr>
      <w:r>
        <w:t>What it checks</w:t>
      </w:r>
    </w:p>
    <w:p>
      <w:pPr>
        <w:pStyle w:val="ListBullet"/>
      </w:pPr>
      <w:r>
        <w:t>Scheme master is database-backed</w:t>
      </w:r>
    </w:p>
    <w:p>
      <w:pPr>
        <w:pStyle w:val="ListBullet"/>
      </w:pPr>
      <w:r>
        <w:t>Required Q2 FY2026-27 schemes exist</w:t>
      </w:r>
    </w:p>
    <w:p>
      <w:pPr>
        <w:pStyle w:val="ListBullet"/>
      </w:pPr>
      <w:r>
        <w:t>Q2 nudge endpoint envelope is valid</w:t>
      </w:r>
    </w:p>
    <w:p>
      <w:pPr>
        <w:pStyle w:val="ListBullet"/>
      </w:pPr>
      <w:r>
        <w:t>Every nudge uses a known Q2 scheme</w:t>
      </w:r>
    </w:p>
    <w:p>
      <w:pPr>
        <w:pStyle w:val="ListBullet"/>
      </w:pPr>
      <w:r>
        <w:t>Clarification-only ₹15 lakh slabs are never recommended</w:t>
      </w:r>
    </w:p>
    <w:p>
      <w:pPr>
        <w:pStyle w:val="ListBullet"/>
      </w:pPr>
      <w:r>
        <w:t>Empty scheme data is seeded before evaluation</w:t>
      </w:r>
    </w:p>
    <w:p>
      <w:pPr>
        <w:pStyle w:val="Heading2"/>
      </w:pPr>
      <w:r>
        <w:t>Failure</w:t>
      </w:r>
    </w:p>
    <w:p>
      <w:r>
        <w:t>No scheme assertion ran. The disposable API server failed on the same missing thread-stream-worker.mjs module.</w:t>
      </w:r>
    </w:p>
    <w:p>
      <w:pPr>
        <w:spacing w:after="40"/>
      </w:pPr>
      <w:r>
        <w:rPr>
          <w:b/>
        </w:rPr>
        <w:t xml:space="preserve">When it started: </w:t>
      </w:r>
      <w:r>
        <w:t>The worker readiness logic was introduced 23 August 2026. It predates today’s publishes; today’s observed failure began before the final publish.</w:t>
      </w:r>
    </w:p>
    <w:p>
      <w:pPr>
        <w:spacing w:after="40"/>
      </w:pPr>
      <w:r>
        <w:rPr>
          <w:b/>
        </w:rPr>
        <w:t xml:space="preserve">Classification: </w:t>
      </w:r>
      <w:r>
        <w:t>BROKEN GUARD RUNNER. It provides no evidence about current scheme behavior.</w:t>
      </w:r>
    </w:p>
    <w:p>
      <w:pPr>
        <w:pStyle w:val="Heading1"/>
      </w:pPr>
      <w:r>
        <w:t>4. type-check-guards</w:t>
      </w:r>
    </w:p>
    <w:p>
      <w:pPr>
        <w:pStyle w:val="Heading2"/>
      </w:pPr>
      <w:r>
        <w:t>What it checks</w:t>
      </w:r>
    </w:p>
    <w:p>
      <w:r>
        <w:t>TypeScript correctness across shared libraries, API server, Prayag app, slide/guide artifacts, mockup sandbox, and workspace scripts.</w:t>
      </w:r>
    </w:p>
    <w:p>
      <w:pPr>
        <w:pStyle w:val="Heading2"/>
      </w:pPr>
      <w:r>
        <w:t>Failure</w:t>
      </w:r>
    </w:p>
    <w:p>
      <w:pPr>
        <w:spacing w:after="40"/>
      </w:pPr>
      <w:r>
        <w:rPr>
          <w:b/>
        </w:rPr>
        <w:t xml:space="preserve">Artifact: </w:t>
      </w:r>
      <w:r>
        <w:t>Prayag Sales Intelligence Operating Guide</w:t>
      </w:r>
    </w:p>
    <w:p>
      <w:pPr>
        <w:spacing w:after="40"/>
      </w:pPr>
      <w:r>
        <w:rPr>
          <w:b/>
        </w:rPr>
        <w:t xml:space="preserve">File: </w:t>
      </w:r>
      <w:r>
        <w:t>src/widgets/ImportedChart.tsx, line 78</w:t>
      </w:r>
    </w:p>
    <w:p>
      <w:pPr>
        <w:spacing w:after="40"/>
      </w:pPr>
      <w:r>
        <w:rPr>
          <w:b/>
        </w:rPr>
        <w:t xml:space="preserve">Errors: </w:t>
      </w:r>
      <w:r>
        <w:t>Two TS18047 errors: “total is possibly null” in the percent-stack scale expression</w:t>
      </w:r>
    </w:p>
    <w:p>
      <w:r>
        <w:t>The reducer uses number | null source values, and its inferred accumulator type is not narrow enough for TypeScript to accept total &gt; 0 and 100 / total.</w:t>
      </w:r>
    </w:p>
    <w:p>
      <w:pPr>
        <w:spacing w:after="40"/>
      </w:pPr>
      <w:r>
        <w:rPr>
          <w:b/>
        </w:rPr>
        <w:t xml:space="preserve">When it started: </w:t>
      </w:r>
      <w:r>
        <w:t>The expression was introduced 11 September 2026, before every publish today. Today’s workflow observed it before the final publish.</w:t>
      </w:r>
    </w:p>
    <w:p>
      <w:pPr>
        <w:spacing w:after="40"/>
      </w:pPr>
      <w:r>
        <w:rPr>
          <w:b/>
        </w:rPr>
        <w:t xml:space="preserve">Classification: </w:t>
      </w:r>
      <w:r>
        <w:t>REAL CODE DEFECT. It is likely typing-only, but the published artifact does not satisfy the workspace type contract.</w:t>
      </w:r>
    </w:p>
    <w:p>
      <w:pPr>
        <w:pStyle w:val="Heading1"/>
      </w:pPr>
      <w:r>
        <w:t>5. Audit Manifest and report_logic</w:t>
      </w:r>
    </w:p>
    <w:p>
      <w:pPr>
        <w:spacing w:after="40"/>
      </w:pPr>
      <w:r>
        <w:rPr>
          <w:b/>
        </w:rPr>
        <w:t xml:space="preserve">Production audit time: </w:t>
      </w:r>
      <w:r>
        <w:t>13 September 2026, 14:22:23Z — after final publish</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Metric</w:t>
            </w:r>
          </w:p>
        </w:tc>
        <w:tc>
          <w:tcPr>
            <w:tcW w:type="dxa" w:w="5112"/>
            <w:shd w:fill="D9EAF7"/>
            <w:vAlign w:val="center"/>
          </w:tcPr>
          <w:p>
            <w:r>
              <w:rPr>
                <w:b/>
              </w:rPr>
              <w:t>Count</w:t>
            </w:r>
          </w:p>
        </w:tc>
      </w:tr>
      <w:tr>
        <w:tc>
          <w:tcPr>
            <w:tcW w:type="dxa" w:w="5112"/>
            <w:vAlign w:val="center"/>
          </w:tcPr>
          <w:p>
            <w:r>
              <w:t>Expected checks</w:t>
            </w:r>
          </w:p>
        </w:tc>
        <w:tc>
          <w:tcPr>
            <w:tcW w:type="dxa" w:w="5112"/>
            <w:vAlign w:val="center"/>
          </w:tcPr>
          <w:p>
            <w:r>
              <w:t>55</w:t>
            </w:r>
          </w:p>
        </w:tc>
      </w:tr>
      <w:tr>
        <w:tc>
          <w:tcPr>
            <w:tcW w:type="dxa" w:w="5112"/>
            <w:vAlign w:val="center"/>
          </w:tcPr>
          <w:p>
            <w:r>
              <w:t>Evaluated</w:t>
            </w:r>
          </w:p>
        </w:tc>
        <w:tc>
          <w:tcPr>
            <w:tcW w:type="dxa" w:w="5112"/>
            <w:vAlign w:val="center"/>
          </w:tcPr>
          <w:p>
            <w:r>
              <w:t>52</w:t>
            </w:r>
          </w:p>
        </w:tc>
      </w:tr>
      <w:tr>
        <w:tc>
          <w:tcPr>
            <w:tcW w:type="dxa" w:w="5112"/>
            <w:vAlign w:val="center"/>
          </w:tcPr>
          <w:p>
            <w:r>
              <w:t>Not evaluated</w:t>
            </w:r>
          </w:p>
        </w:tc>
        <w:tc>
          <w:tcPr>
            <w:tcW w:type="dxa" w:w="5112"/>
            <w:vAlign w:val="center"/>
          </w:tcPr>
          <w:p>
            <w:r>
              <w:t>3</w:t>
            </w:r>
          </w:p>
        </w:tc>
      </w:tr>
      <w:tr>
        <w:tc>
          <w:tcPr>
            <w:tcW w:type="dxa" w:w="5112"/>
            <w:vAlign w:val="center"/>
          </w:tcPr>
          <w:p>
            <w:r>
              <w:t>Overall</w:t>
            </w:r>
          </w:p>
        </w:tc>
        <w:tc>
          <w:tcPr>
            <w:tcW w:type="dxa" w:w="5112"/>
            <w:vAlign w:val="center"/>
          </w:tcPr>
          <w:p>
            <w:r>
              <w:t>Fail</w:t>
            </w:r>
          </w:p>
        </w:tc>
      </w:tr>
    </w:tbl>
    <w:p>
      <w:pPr>
        <w:spacing w:after="40"/>
      </w:pPr>
    </w:p>
    <w:p>
      <w:r>
        <w:rPr>
          <w:b/>
        </w:rPr>
        <w:t xml:space="preserve">Manifest outcome: </w:t>
      </w:r>
      <w:r>
        <w:t>All eight Group 6 report_logic checks are now present and evaluated. The previously silent report_logic omissions are no longer hidden. This is the manifest working.</w:t>
      </w:r>
    </w:p>
    <w:p>
      <w:pPr>
        <w:spacing w:after="40"/>
      </w:pPr>
      <w:r>
        <w:rPr>
          <w:b/>
        </w:rPr>
        <w:t xml:space="preserve">Group 6: </w:t>
      </w:r>
      <w:r>
        <w:t>8 expected; 8 evaluated; 0 not evaluated</w:t>
      </w:r>
    </w:p>
    <w:p>
      <w:pPr>
        <w:pStyle w:val="Heading2"/>
      </w:pPr>
      <w:r>
        <w:t>Stale report_logic expectation 6.2a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Measure</w:t>
            </w:r>
          </w:p>
        </w:tc>
        <w:tc>
          <w:tcPr>
            <w:tcW w:type="dxa" w:w="5112"/>
            <w:shd w:fill="D9EAF7"/>
            <w:vAlign w:val="center"/>
          </w:tcPr>
          <w:p>
            <w:r>
              <w:rPr>
                <w:b/>
              </w:rPr>
              <w:t>Value</w:t>
            </w:r>
          </w:p>
        </w:tc>
      </w:tr>
      <w:tr>
        <w:tc>
          <w:tcPr>
            <w:tcW w:type="dxa" w:w="5112"/>
            <w:vAlign w:val="center"/>
          </w:tcPr>
          <w:p>
            <w:r>
              <w:t>Expected PTMT LY</w:t>
            </w:r>
          </w:p>
        </w:tc>
        <w:tc>
          <w:tcPr>
            <w:tcW w:type="dxa" w:w="5112"/>
            <w:vAlign w:val="center"/>
          </w:tcPr>
          <w:p>
            <w:r>
              <w:t>₹45,54,928</w:t>
            </w:r>
          </w:p>
        </w:tc>
      </w:tr>
      <w:tr>
        <w:tc>
          <w:tcPr>
            <w:tcW w:type="dxa" w:w="5112"/>
            <w:vAlign w:val="center"/>
          </w:tcPr>
          <w:p>
            <w:r>
              <w:t>Actual PTMT LY</w:t>
            </w:r>
          </w:p>
        </w:tc>
        <w:tc>
          <w:tcPr>
            <w:tcW w:type="dxa" w:w="5112"/>
            <w:vAlign w:val="center"/>
          </w:tcPr>
          <w:p>
            <w:r>
              <w:t>₹44,20,513.89</w:t>
            </w:r>
          </w:p>
        </w:tc>
      </w:tr>
      <w:tr>
        <w:tc>
          <w:tcPr>
            <w:tcW w:type="dxa" w:w="5112"/>
            <w:vAlign w:val="center"/>
          </w:tcPr>
          <w:p>
            <w:r>
              <w:t>Difference</w:t>
            </w:r>
          </w:p>
        </w:tc>
        <w:tc>
          <w:tcPr>
            <w:tcW w:type="dxa" w:w="5112"/>
            <w:vAlign w:val="center"/>
          </w:tcPr>
          <w:p>
            <w:r>
              <w:t>−₹1,34,414.11</w:t>
            </w:r>
          </w:p>
        </w:tc>
      </w:tr>
      <w:tr>
        <w:tc>
          <w:tcPr>
            <w:tcW w:type="dxa" w:w="5112"/>
            <w:vAlign w:val="center"/>
          </w:tcPr>
          <w:p>
            <w:r>
              <w:t>Delta</w:t>
            </w:r>
          </w:p>
        </w:tc>
        <w:tc>
          <w:tcPr>
            <w:tcW w:type="dxa" w:w="5112"/>
            <w:vAlign w:val="center"/>
          </w:tcPr>
          <w:p>
            <w:r>
              <w:t>−2.95%</w:t>
            </w:r>
          </w:p>
        </w:tc>
      </w:tr>
      <w:tr>
        <w:tc>
          <w:tcPr>
            <w:tcW w:type="dxa" w:w="5112"/>
            <w:vAlign w:val="center"/>
          </w:tcPr>
          <w:p>
            <w:r>
              <w:t>Separate CISTERN LY</w:t>
            </w:r>
          </w:p>
        </w:tc>
        <w:tc>
          <w:tcPr>
            <w:tcW w:type="dxa" w:w="5112"/>
            <w:vAlign w:val="center"/>
          </w:tcPr>
          <w:p>
            <w:r>
              <w:t>₹1,34,414.17</w:t>
            </w:r>
          </w:p>
        </w:tc>
      </w:tr>
    </w:tbl>
    <w:p>
      <w:pPr>
        <w:spacing w:after="40"/>
      </w:pPr>
    </w:p>
    <w:p>
      <w:r>
        <w:t>Actual PTMT plus separately classified CISTERN equals ₹45,54,928.06. The old anchor still includes CISTERN; current report logic separates it.</w:t>
      </w:r>
    </w:p>
    <w:p>
      <w:pPr>
        <w:pStyle w:val="Heading2"/>
      </w:pPr>
      <w:r>
        <w:t>Stale report_logic expectation 6.6a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Measure</w:t>
            </w:r>
          </w:p>
        </w:tc>
        <w:tc>
          <w:tcPr>
            <w:tcW w:type="dxa" w:w="5112"/>
            <w:shd w:fill="D9EAF7"/>
            <w:vAlign w:val="center"/>
          </w:tcPr>
          <w:p>
            <w:r>
              <w:rPr>
                <w:b/>
              </w:rPr>
              <w:t>Value</w:t>
            </w:r>
          </w:p>
        </w:tc>
      </w:tr>
      <w:tr>
        <w:tc>
          <w:tcPr>
            <w:tcW w:type="dxa" w:w="5112"/>
            <w:vAlign w:val="center"/>
          </w:tcPr>
          <w:p>
            <w:r>
              <w:t>Expected Universal PTMT LY quantity</w:t>
            </w:r>
          </w:p>
        </w:tc>
        <w:tc>
          <w:tcPr>
            <w:tcW w:type="dxa" w:w="5112"/>
            <w:vAlign w:val="center"/>
          </w:tcPr>
          <w:p>
            <w:r>
              <w:t>5,106 pieces</w:t>
            </w:r>
          </w:p>
        </w:tc>
      </w:tr>
      <w:tr>
        <w:tc>
          <w:tcPr>
            <w:tcW w:type="dxa" w:w="5112"/>
            <w:vAlign w:val="center"/>
          </w:tcPr>
          <w:p>
            <w:r>
              <w:t>Actual PTMT quantity</w:t>
            </w:r>
          </w:p>
        </w:tc>
        <w:tc>
          <w:tcPr>
            <w:tcW w:type="dxa" w:w="5112"/>
            <w:vAlign w:val="center"/>
          </w:tcPr>
          <w:p>
            <w:r>
              <w:t>5,006 pieces</w:t>
            </w:r>
          </w:p>
        </w:tc>
      </w:tr>
      <w:tr>
        <w:tc>
          <w:tcPr>
            <w:tcW w:type="dxa" w:w="5112"/>
            <w:vAlign w:val="center"/>
          </w:tcPr>
          <w:p>
            <w:r>
              <w:t>Difference</w:t>
            </w:r>
          </w:p>
        </w:tc>
        <w:tc>
          <w:tcPr>
            <w:tcW w:type="dxa" w:w="5112"/>
            <w:vAlign w:val="center"/>
          </w:tcPr>
          <w:p>
            <w:r>
              <w:t>−100 pieces</w:t>
            </w:r>
          </w:p>
        </w:tc>
      </w:tr>
      <w:tr>
        <w:tc>
          <w:tcPr>
            <w:tcW w:type="dxa" w:w="5112"/>
            <w:vAlign w:val="center"/>
          </w:tcPr>
          <w:p>
            <w:r>
              <w:t>Delta</w:t>
            </w:r>
          </w:p>
        </w:tc>
        <w:tc>
          <w:tcPr>
            <w:tcW w:type="dxa" w:w="5112"/>
            <w:vAlign w:val="center"/>
          </w:tcPr>
          <w:p>
            <w:r>
              <w:t>−1.96%</w:t>
            </w:r>
          </w:p>
        </w:tc>
      </w:tr>
      <w:tr>
        <w:tc>
          <w:tcPr>
            <w:tcW w:type="dxa" w:w="5112"/>
            <w:vAlign w:val="center"/>
          </w:tcPr>
          <w:p>
            <w:r>
              <w:t>Separate Universal CISTERN quantity</w:t>
            </w:r>
          </w:p>
        </w:tc>
        <w:tc>
          <w:tcPr>
            <w:tcW w:type="dxa" w:w="5112"/>
            <w:vAlign w:val="center"/>
          </w:tcPr>
          <w:p>
            <w:r>
              <w:t>100 pieces</w:t>
            </w:r>
          </w:p>
        </w:tc>
      </w:tr>
    </w:tbl>
    <w:p>
      <w:pPr>
        <w:spacing w:after="40"/>
      </w:pPr>
    </w:p>
    <w:p>
      <w:r>
        <w:t>The old quantity anchor likewise equals current PTMT plus the separately classified CISTERN quantity.</w:t>
      </w:r>
    </w:p>
    <w:p>
      <w:pPr>
        <w:spacing w:after="40"/>
      </w:pPr>
      <w:r>
        <w:rPr>
          <w:b/>
        </w:rPr>
        <w:t xml:space="preserve">Classification: </w:t>
      </w:r>
      <w:r>
        <w:t>STALE EXPECTATIONS EXPOSED BY A WORKING MANIFEST — not evidence that current Report 3/4 logic broke.</w:t>
      </w:r>
    </w:p>
    <w:p>
      <w:pPr>
        <w:pStyle w:val="Heading2"/>
      </w:pPr>
      <w:r>
        <w:t>Remaining not-evaluated checks</w:t>
      </w:r>
    </w:p>
    <w:p>
      <w:pPr>
        <w:pStyle w:val="ListBullet"/>
      </w:pPr>
      <w:r>
        <w:t>E1_name_match_pct</w:t>
      </w:r>
    </w:p>
    <w:p>
      <w:pPr>
        <w:pStyle w:val="ListBullet"/>
      </w:pPr>
      <w:r>
        <w:t>E2_unmatched_names</w:t>
      </w:r>
    </w:p>
    <w:p>
      <w:pPr>
        <w:pStyle w:val="ListBullet"/>
      </w:pPr>
      <w:r>
        <w:t>E3_fy2627_duplicates</w:t>
      </w:r>
    </w:p>
    <w:p>
      <w:r>
        <w:t>All three belong to retired Target Master name-matching checks. They are now visible, but the manifest should eventually stop declaring retired checks instead of leaving them permanently not evaluated.</w:t>
      </w:r>
    </w:p>
    <w:p>
      <w:pPr>
        <w:pStyle w:val="Heading1"/>
      </w:pPr>
      <w:r>
        <w:t>6. Date-signature and Frozen-drift Status</w:t>
      </w:r>
    </w:p>
    <w:p>
      <w:pPr>
        <w:pStyle w:val="Heading2"/>
      </w:pPr>
      <w:r>
        <w:t>Date-signature guard</w:t>
      </w:r>
    </w:p>
    <w:p>
      <w:pPr>
        <w:spacing w:after="40"/>
      </w:pPr>
      <w:r>
        <w:rPr>
          <w:b/>
        </w:rPr>
        <w:t xml:space="preserve">Status: </w:t>
      </w:r>
      <w:r>
        <w:t>PASSING — no current exception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FY</w:t>
            </w:r>
          </w:p>
        </w:tc>
        <w:tc>
          <w:tcPr>
            <w:tcW w:type="dxa" w:w="3408"/>
            <w:shd w:fill="D9EAF7"/>
            <w:vAlign w:val="center"/>
          </w:tcPr>
          <w:p>
            <w:r>
              <w:rPr>
                <w:b/>
              </w:rPr>
              <w:t>Numeric serial rows</w:t>
            </w:r>
          </w:p>
        </w:tc>
        <w:tc>
          <w:tcPr>
            <w:tcW w:type="dxa" w:w="3408"/>
            <w:shd w:fill="D9EAF7"/>
            <w:vAlign w:val="center"/>
          </w:tcPr>
          <w:p>
            <w:r>
              <w:rPr>
                <w:b/>
              </w:rPr>
              <w:t>Decoded day &gt; 12</w:t>
            </w:r>
          </w:p>
        </w:tc>
      </w:tr>
      <w:tr>
        <w:tc>
          <w:tcPr>
            <w:tcW w:type="dxa" w:w="3408"/>
            <w:vAlign w:val="center"/>
          </w:tcPr>
          <w:p>
            <w:r>
              <w:t>2021-22</w:t>
            </w:r>
          </w:p>
        </w:tc>
        <w:tc>
          <w:tcPr>
            <w:tcW w:type="dxa" w:w="3408"/>
            <w:vAlign w:val="center"/>
          </w:tcPr>
          <w:p>
            <w:r>
              <w:t>159,482</w:t>
            </w:r>
          </w:p>
        </w:tc>
        <w:tc>
          <w:tcPr>
            <w:tcW w:type="dxa" w:w="3408"/>
            <w:vAlign w:val="center"/>
          </w:tcPr>
          <w:p>
            <w:r>
              <w:t>107,131</w:t>
            </w:r>
          </w:p>
        </w:tc>
      </w:tr>
      <w:tr>
        <w:tc>
          <w:tcPr>
            <w:tcW w:type="dxa" w:w="3408"/>
            <w:vAlign w:val="center"/>
          </w:tcPr>
          <w:p>
            <w:r>
              <w:t>2022-23</w:t>
            </w:r>
          </w:p>
        </w:tc>
        <w:tc>
          <w:tcPr>
            <w:tcW w:type="dxa" w:w="3408"/>
            <w:vAlign w:val="center"/>
          </w:tcPr>
          <w:p>
            <w:r>
              <w:t>220,875</w:t>
            </w:r>
          </w:p>
        </w:tc>
        <w:tc>
          <w:tcPr>
            <w:tcW w:type="dxa" w:w="3408"/>
            <w:vAlign w:val="center"/>
          </w:tcPr>
          <w:p>
            <w:r>
              <w:t>153,057</w:t>
            </w:r>
          </w:p>
        </w:tc>
      </w:tr>
      <w:tr>
        <w:tc>
          <w:tcPr>
            <w:tcW w:type="dxa" w:w="3408"/>
            <w:vAlign w:val="center"/>
          </w:tcPr>
          <w:p>
            <w:r>
              <w:t>2023-24</w:t>
            </w:r>
          </w:p>
        </w:tc>
        <w:tc>
          <w:tcPr>
            <w:tcW w:type="dxa" w:w="3408"/>
            <w:vAlign w:val="center"/>
          </w:tcPr>
          <w:p>
            <w:r>
              <w:t>16,273</w:t>
            </w:r>
          </w:p>
        </w:tc>
        <w:tc>
          <w:tcPr>
            <w:tcW w:type="dxa" w:w="3408"/>
            <w:vAlign w:val="center"/>
          </w:tcPr>
          <w:p>
            <w:r>
              <w:t>11,671</w:t>
            </w:r>
          </w:p>
        </w:tc>
      </w:tr>
      <w:tr>
        <w:tc>
          <w:tcPr>
            <w:tcW w:type="dxa" w:w="3408"/>
            <w:vAlign w:val="center"/>
          </w:tcPr>
          <w:p>
            <w:r>
              <w:t>2024-25</w:t>
            </w:r>
          </w:p>
        </w:tc>
        <w:tc>
          <w:tcPr>
            <w:tcW w:type="dxa" w:w="3408"/>
            <w:vAlign w:val="center"/>
          </w:tcPr>
          <w:p>
            <w:r>
              <w:t>335,252</w:t>
            </w:r>
          </w:p>
        </w:tc>
        <w:tc>
          <w:tcPr>
            <w:tcW w:type="dxa" w:w="3408"/>
            <w:vAlign w:val="center"/>
          </w:tcPr>
          <w:p>
            <w:r>
              <w:t>258,904</w:t>
            </w:r>
          </w:p>
        </w:tc>
      </w:tr>
    </w:tbl>
    <w:p>
      <w:pPr>
        <w:spacing w:after="40"/>
      </w:pPr>
    </w:p>
    <w:p>
      <w:pPr>
        <w:pStyle w:val="Heading2"/>
      </w:pPr>
      <w:r>
        <w:t>frozen_drift_check and Audit Group 10</w:t>
      </w:r>
    </w:p>
    <w:p>
      <w:pPr>
        <w:spacing w:after="40"/>
      </w:pPr>
      <w:r>
        <w:rPr>
          <w:b/>
        </w:rPr>
        <w:t xml:space="preserve">Status: </w:t>
      </w:r>
      <w:r>
        <w:t>PASSING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Month</w:t>
            </w:r>
          </w:p>
        </w:tc>
        <w:tc>
          <w:tcPr>
            <w:tcW w:type="dxa" w:w="2556"/>
            <w:shd w:fill="D9EAF7"/>
            <w:vAlign w:val="center"/>
          </w:tcPr>
          <w:p>
            <w:r>
              <w:rPr>
                <w:b/>
              </w:rPr>
              <w:t>Row delta</w:t>
            </w:r>
          </w:p>
        </w:tc>
        <w:tc>
          <w:tcPr>
            <w:tcW w:type="dxa" w:w="2556"/>
            <w:shd w:fill="D9EAF7"/>
            <w:vAlign w:val="center"/>
          </w:tcPr>
          <w:p>
            <w:r>
              <w:rPr>
                <w:b/>
              </w:rPr>
              <w:t>Net delta</w:t>
            </w:r>
          </w:p>
        </w:tc>
        <w:tc>
          <w:tcPr>
            <w:tcW w:type="dxa" w:w="2556"/>
            <w:shd w:fill="D9EAF7"/>
            <w:vAlign w:val="center"/>
          </w:tcPr>
          <w:p>
            <w:r>
              <w:rPr>
                <w:b/>
              </w:rPr>
              <w:t>Status</w:t>
            </w:r>
          </w:p>
        </w:tc>
      </w:tr>
      <w:tr>
        <w:tc>
          <w:tcPr>
            <w:tcW w:type="dxa" w:w="2556"/>
            <w:vAlign w:val="center"/>
          </w:tcPr>
          <w:p>
            <w:r>
              <w:t>Apr-26</w:t>
            </w:r>
          </w:p>
        </w:tc>
        <w:tc>
          <w:tcPr>
            <w:tcW w:type="dxa" w:w="2556"/>
            <w:vAlign w:val="center"/>
          </w:tcPr>
          <w:p>
            <w:r>
              <w:t>0</w:t>
            </w:r>
          </w:p>
        </w:tc>
        <w:tc>
          <w:tcPr>
            <w:tcW w:type="dxa" w:w="2556"/>
            <w:vAlign w:val="center"/>
          </w:tcPr>
          <w:p>
            <w:r>
              <w:t>₹0.000000045</w:t>
            </w:r>
          </w:p>
        </w:tc>
        <w:tc>
          <w:tcPr>
            <w:tcW w:type="dxa" w:w="2556"/>
            <w:vAlign w:val="center"/>
          </w:tcPr>
          <w:p>
            <w:r>
              <w:t>Match</w:t>
            </w:r>
          </w:p>
        </w:tc>
      </w:tr>
      <w:tr>
        <w:tc>
          <w:tcPr>
            <w:tcW w:type="dxa" w:w="2556"/>
            <w:vAlign w:val="center"/>
          </w:tcPr>
          <w:p>
            <w:r>
              <w:t>May-26</w:t>
            </w:r>
          </w:p>
        </w:tc>
        <w:tc>
          <w:tcPr>
            <w:tcW w:type="dxa" w:w="2556"/>
            <w:vAlign w:val="center"/>
          </w:tcPr>
          <w:p>
            <w:r>
              <w:t>0</w:t>
            </w:r>
          </w:p>
        </w:tc>
        <w:tc>
          <w:tcPr>
            <w:tcW w:type="dxa" w:w="2556"/>
            <w:vAlign w:val="center"/>
          </w:tcPr>
          <w:p>
            <w:r>
              <w:t>−₹0.000000060</w:t>
            </w:r>
          </w:p>
        </w:tc>
        <w:tc>
          <w:tcPr>
            <w:tcW w:type="dxa" w:w="2556"/>
            <w:vAlign w:val="center"/>
          </w:tcPr>
          <w:p>
            <w:r>
              <w:t>Match</w:t>
            </w:r>
          </w:p>
        </w:tc>
      </w:tr>
    </w:tbl>
    <w:p>
      <w:pPr>
        <w:spacing w:after="40"/>
      </w:pPr>
    </w:p>
    <w:p>
      <w:r>
        <w:t>The monetary residuals are floating-point noise. Audit Group 10 evaluated all six closed-FY row and amount checks and passed.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FY</w:t>
            </w:r>
          </w:p>
        </w:tc>
        <w:tc>
          <w:tcPr>
            <w:tcW w:type="dxa" w:w="2045"/>
            <w:shd w:fill="D9EAF7"/>
            <w:vAlign w:val="center"/>
          </w:tcPr>
          <w:p>
            <w:r>
              <w:rPr>
                <w:b/>
              </w:rPr>
              <w:t>Expected rows</w:t>
            </w:r>
          </w:p>
        </w:tc>
        <w:tc>
          <w:tcPr>
            <w:tcW w:type="dxa" w:w="2045"/>
            <w:shd w:fill="D9EAF7"/>
            <w:vAlign w:val="center"/>
          </w:tcPr>
          <w:p>
            <w:r>
              <w:rPr>
                <w:b/>
              </w:rPr>
              <w:t>Actual rows</w:t>
            </w:r>
          </w:p>
        </w:tc>
        <w:tc>
          <w:tcPr>
            <w:tcW w:type="dxa" w:w="2045"/>
            <w:shd w:fill="D9EAF7"/>
            <w:vAlign w:val="center"/>
          </w:tcPr>
          <w:p>
            <w:r>
              <w:rPr>
                <w:b/>
              </w:rPr>
              <w:t>Expected amount</w:t>
            </w:r>
          </w:p>
        </w:tc>
        <w:tc>
          <w:tcPr>
            <w:tcW w:type="dxa" w:w="2045"/>
            <w:shd w:fill="D9EAF7"/>
            <w:vAlign w:val="center"/>
          </w:tcPr>
          <w:p>
            <w:r>
              <w:rPr>
                <w:b/>
              </w:rPr>
              <w:t>Actual amount</w:t>
            </w:r>
          </w:p>
        </w:tc>
      </w:tr>
      <w:tr>
        <w:tc>
          <w:tcPr>
            <w:tcW w:type="dxa" w:w="2045"/>
            <w:vAlign w:val="center"/>
          </w:tcPr>
          <w:p>
            <w:r>
              <w:t>2023-24</w:t>
            </w:r>
          </w:p>
        </w:tc>
        <w:tc>
          <w:tcPr>
            <w:tcW w:type="dxa" w:w="2045"/>
            <w:vAlign w:val="center"/>
          </w:tcPr>
          <w:p>
            <w:r>
              <w:t>137,619</w:t>
            </w:r>
          </w:p>
        </w:tc>
        <w:tc>
          <w:tcPr>
            <w:tcW w:type="dxa" w:w="2045"/>
            <w:vAlign w:val="center"/>
          </w:tcPr>
          <w:p>
            <w:r>
              <w:t>137,619</w:t>
            </w:r>
          </w:p>
        </w:tc>
        <w:tc>
          <w:tcPr>
            <w:tcW w:type="dxa" w:w="2045"/>
            <w:vAlign w:val="center"/>
          </w:tcPr>
          <w:p>
            <w:r>
              <w:t>₹349.023 Cr</w:t>
            </w:r>
          </w:p>
        </w:tc>
        <w:tc>
          <w:tcPr>
            <w:tcW w:type="dxa" w:w="2045"/>
            <w:vAlign w:val="center"/>
          </w:tcPr>
          <w:p>
            <w:r>
              <w:t>₹349.023 Cr</w:t>
            </w:r>
          </w:p>
        </w:tc>
      </w:tr>
      <w:tr>
        <w:tc>
          <w:tcPr>
            <w:tcW w:type="dxa" w:w="2045"/>
            <w:vAlign w:val="center"/>
          </w:tcPr>
          <w:p>
            <w:r>
              <w:t>2024-25</w:t>
            </w:r>
          </w:p>
        </w:tc>
        <w:tc>
          <w:tcPr>
            <w:tcW w:type="dxa" w:w="2045"/>
            <w:vAlign w:val="center"/>
          </w:tcPr>
          <w:p>
            <w:r>
              <w:t>141,201</w:t>
            </w:r>
          </w:p>
        </w:tc>
        <w:tc>
          <w:tcPr>
            <w:tcW w:type="dxa" w:w="2045"/>
            <w:vAlign w:val="center"/>
          </w:tcPr>
          <w:p>
            <w:r>
              <w:t>141,201</w:t>
            </w:r>
          </w:p>
        </w:tc>
        <w:tc>
          <w:tcPr>
            <w:tcW w:type="dxa" w:w="2045"/>
            <w:vAlign w:val="center"/>
          </w:tcPr>
          <w:p>
            <w:r>
              <w:t>₹341.143 Cr</w:t>
            </w:r>
          </w:p>
        </w:tc>
        <w:tc>
          <w:tcPr>
            <w:tcW w:type="dxa" w:w="2045"/>
            <w:vAlign w:val="center"/>
          </w:tcPr>
          <w:p>
            <w:r>
              <w:t>₹341.143 Cr</w:t>
            </w:r>
          </w:p>
        </w:tc>
      </w:tr>
      <w:tr>
        <w:tc>
          <w:tcPr>
            <w:tcW w:type="dxa" w:w="2045"/>
            <w:vAlign w:val="center"/>
          </w:tcPr>
          <w:p>
            <w:r>
              <w:t>2025-26</w:t>
            </w:r>
          </w:p>
        </w:tc>
        <w:tc>
          <w:tcPr>
            <w:tcW w:type="dxa" w:w="2045"/>
            <w:vAlign w:val="center"/>
          </w:tcPr>
          <w:p>
            <w:r>
              <w:t>145,613</w:t>
            </w:r>
          </w:p>
        </w:tc>
        <w:tc>
          <w:tcPr>
            <w:tcW w:type="dxa" w:w="2045"/>
            <w:vAlign w:val="center"/>
          </w:tcPr>
          <w:p>
            <w:r>
              <w:t>145,613</w:t>
            </w:r>
          </w:p>
        </w:tc>
        <w:tc>
          <w:tcPr>
            <w:tcW w:type="dxa" w:w="2045"/>
            <w:vAlign w:val="center"/>
          </w:tcPr>
          <w:p>
            <w:r>
              <w:t>₹360.995 Cr</w:t>
            </w:r>
          </w:p>
        </w:tc>
        <w:tc>
          <w:tcPr>
            <w:tcW w:type="dxa" w:w="2045"/>
            <w:vAlign w:val="center"/>
          </w:tcPr>
          <w:p>
            <w:r>
              <w:t>₹360.995 Cr</w:t>
            </w:r>
          </w:p>
        </w:tc>
      </w:tr>
    </w:tbl>
    <w:p>
      <w:pPr>
        <w:spacing w:after="40"/>
      </w:pPr>
    </w:p>
    <w:p>
      <w:pPr>
        <w:pStyle w:val="Heading1"/>
      </w:pPr>
      <w:r>
        <w:t>Required 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Priority</w:t>
            </w:r>
          </w:p>
        </w:tc>
        <w:tc>
          <w:tcPr>
            <w:tcW w:type="dxa" w:w="3408"/>
            <w:shd w:fill="D9EAF7"/>
            <w:vAlign w:val="center"/>
          </w:tcPr>
          <w:p>
            <w:r>
              <w:rPr>
                <w:b/>
              </w:rPr>
              <w:t>Action</w:t>
            </w:r>
          </w:p>
        </w:tc>
        <w:tc>
          <w:tcPr>
            <w:tcW w:type="dxa" w:w="3408"/>
            <w:shd w:fill="D9EAF7"/>
            <w:vAlign w:val="center"/>
          </w:tcPr>
          <w:p>
            <w:r>
              <w:rPr>
                <w:b/>
              </w:rPr>
              <w:t>Reason</w:t>
            </w:r>
          </w:p>
        </w:tc>
      </w:tr>
      <w:tr>
        <w:tc>
          <w:tcPr>
            <w:tcW w:type="dxa" w:w="3408"/>
            <w:vAlign w:val="center"/>
          </w:tcPr>
          <w:p>
            <w:r>
              <w:t>1</w:t>
            </w:r>
          </w:p>
        </w:tc>
        <w:tc>
          <w:tcPr>
            <w:tcW w:type="dxa" w:w="3408"/>
            <w:vAlign w:val="center"/>
          </w:tcPr>
          <w:p>
            <w:r>
              <w:t>Restore or correctly load production Aug-26 secondary SKU data; reconcile development’s partial 8,602-row load.</w:t>
            </w:r>
          </w:p>
        </w:tc>
        <w:tc>
          <w:tcPr>
            <w:tcW w:type="dxa" w:w="3408"/>
            <w:vAlign w:val="center"/>
          </w:tcPr>
          <w:p>
            <w:r>
              <w:t>Real production canary failure: 0 vs 19,417 floor.</w:t>
            </w:r>
          </w:p>
        </w:tc>
      </w:tr>
      <w:tr>
        <w:tc>
          <w:tcPr>
            <w:tcW w:type="dxa" w:w="3408"/>
            <w:vAlign w:val="center"/>
          </w:tcPr>
          <w:p>
            <w:r>
              <w:t>2</w:t>
            </w:r>
          </w:p>
        </w:tc>
        <w:tc>
          <w:tcPr>
            <w:tcW w:type="dxa" w:w="3408"/>
            <w:vAlign w:val="center"/>
          </w:tcPr>
          <w:p>
            <w:r>
              <w:t>Isolate disposable guard builds or run guards against a pinned reachable server; stop sharing destructively rebuilt dist output.</w:t>
            </w:r>
          </w:p>
        </w:tc>
        <w:tc>
          <w:tcPr>
            <w:tcW w:type="dxa" w:w="3408"/>
            <w:vAlign w:val="center"/>
          </w:tcPr>
          <w:p>
            <w:r>
              <w:t>Growth and scheme guards currently evaluate nothing.</w:t>
            </w:r>
          </w:p>
        </w:tc>
      </w:tr>
      <w:tr>
        <w:tc>
          <w:tcPr>
            <w:tcW w:type="dxa" w:w="3408"/>
            <w:vAlign w:val="center"/>
          </w:tcPr>
          <w:p>
            <w:r>
              <w:t>3</w:t>
            </w:r>
          </w:p>
        </w:tc>
        <w:tc>
          <w:tcPr>
            <w:tcW w:type="dxa" w:w="3408"/>
            <w:vAlign w:val="center"/>
          </w:tcPr>
          <w:p>
            <w:r>
              <w:t>Fix the nullable reducer typing in the Operating Guide chart.</w:t>
            </w:r>
          </w:p>
        </w:tc>
        <w:tc>
          <w:tcPr>
            <w:tcW w:type="dxa" w:w="3408"/>
            <w:vAlign w:val="center"/>
          </w:tcPr>
          <w:p>
            <w:r>
              <w:t>Workspace typecheck is genuinely red.</w:t>
            </w:r>
          </w:p>
        </w:tc>
      </w:tr>
      <w:tr>
        <w:tc>
          <w:tcPr>
            <w:tcW w:type="dxa" w:w="3408"/>
            <w:vAlign w:val="center"/>
          </w:tcPr>
          <w:p>
            <w:r>
              <w:t>4</w:t>
            </w:r>
          </w:p>
        </w:tc>
        <w:tc>
          <w:tcPr>
            <w:tcW w:type="dxa" w:w="3408"/>
            <w:vAlign w:val="center"/>
          </w:tcPr>
          <w:p>
            <w:r>
              <w:t>Update the two LY report_logic anchors to reflect the approved CISTERN/PTMT split.</w:t>
            </w:r>
          </w:p>
        </w:tc>
        <w:tc>
          <w:tcPr>
            <w:tcW w:type="dxa" w:w="3408"/>
            <w:vAlign w:val="center"/>
          </w:tcPr>
          <w:p>
            <w:r>
              <w:t>Manifest correctly exposed stale expectations.</w:t>
            </w:r>
          </w:p>
        </w:tc>
      </w:tr>
      <w:tr>
        <w:tc>
          <w:tcPr>
            <w:tcW w:type="dxa" w:w="3408"/>
            <w:vAlign w:val="center"/>
          </w:tcPr>
          <w:p>
            <w:r>
              <w:t>5</w:t>
            </w:r>
          </w:p>
        </w:tc>
        <w:tc>
          <w:tcPr>
            <w:tcW w:type="dxa" w:w="3408"/>
            <w:vAlign w:val="center"/>
          </w:tcPr>
          <w:p>
            <w:r>
              <w:t>Remove retired Group E keys from the expected manifest or formally mark them non-applicable.</w:t>
            </w:r>
          </w:p>
        </w:tc>
        <w:tc>
          <w:tcPr>
            <w:tcW w:type="dxa" w:w="3408"/>
            <w:vAlign w:val="center"/>
          </w:tcPr>
          <w:p>
            <w:r>
              <w:t>Three checks remain permanently not evaluated.</w:t>
            </w:r>
          </w:p>
        </w:tc>
      </w:tr>
      <w:tr>
        <w:tc>
          <w:tcPr>
            <w:tcW w:type="dxa" w:w="3408"/>
            <w:vAlign w:val="center"/>
          </w:tcPr>
          <w:p>
            <w:r>
              <w:t>6</w:t>
            </w:r>
          </w:p>
        </w:tc>
        <w:tc>
          <w:tcPr>
            <w:tcW w:type="dxa" w:w="3408"/>
            <w:vAlign w:val="center"/>
          </w:tcPr>
          <w:p>
            <w:r>
              <w:t>Investigate the distributorTabs test warning for missing sl.qty.</w:t>
            </w:r>
          </w:p>
        </w:tc>
        <w:tc>
          <w:tcPr>
            <w:tcW w:type="dxa" w:w="3408"/>
            <w:vAlign w:val="center"/>
          </w:tcPr>
          <w:p>
            <w:r>
              <w:t>A passing test is currently exercising a degraded multiplier path.</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Prayag Sales Intelligence — Guard Failure Analysis — 13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