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Scheme Reward Slab Development Alignment</w:t>
      </w:r>
    </w:p>
    <w:p>
      <w:pPr>
        <w:jc w:val="center"/>
      </w:pPr>
      <w:r>
        <w:rPr>
          <w:b/>
          <w:color w:val="44546A"/>
        </w:rPr>
        <w:t>Completion and Production-Parity Report • 7 September 2026</w:t>
      </w:r>
    </w:p>
    <w:p>
      <w:pPr>
        <w:jc w:val="center"/>
      </w:pPr>
      <w:r>
        <w:rPr>
          <w:i/>
        </w:rPr>
        <w:t>Development-only migration applied. Production was not modified and no publish was performed.</w:t>
      </w:r>
    </w:p>
    <w:p>
      <w:pPr>
        <w:pStyle w:val="Heading1"/>
      </w:pPr>
      <w:r>
        <w:t>Executive result</w:t>
      </w:r>
    </w:p>
    <w:p>
      <w:pPr>
        <w:pStyle w:val="ListBullet"/>
        <w:spacing w:after="40"/>
      </w:pPr>
      <w:r>
        <w:t>Migration 089 was added to the migration runner and applied to development only.</w:t>
      </w:r>
    </w:p>
    <w:p>
      <w:pPr>
        <w:pStyle w:val="ListBullet"/>
        <w:spacing w:after="40"/>
      </w:pPr>
      <w:r>
        <w:t>The existing sequence was renamed; it was not dropped or recreated.</w:t>
      </w:r>
    </w:p>
    <w:p>
      <w:pPr>
        <w:pStyle w:val="ListBullet"/>
        <w:spacing w:after="40"/>
      </w:pPr>
      <w:r>
        <w:t>The sequence retained last_value 132 and is_called true, so its next generated ID remains 133.</w:t>
      </w:r>
    </w:p>
    <w:p>
      <w:pPr>
        <w:pStyle w:val="ListBullet"/>
        <w:spacing w:after="40"/>
      </w:pPr>
      <w:r>
        <w:t>The primary-key constraint and backing index now use the intended production name.</w:t>
      </w:r>
    </w:p>
    <w:p>
      <w:pPr>
        <w:pStyle w:val="ListBullet"/>
        <w:spacing w:after="40"/>
      </w:pPr>
      <w:r>
        <w:t>Development and production now match exactly for constraints, indexes, sequences, and sequence dependencies.</w:t>
      </w:r>
    </w:p>
    <w:p>
      <w:pPr>
        <w:pStyle w:val="ListBullet"/>
        <w:spacing w:after="40"/>
      </w:pPr>
      <w:r>
        <w:t>Three remaining default-expression differences are semantically equivalent PostgreSQL renderings and are not substantive schema differences.</w:t>
      </w:r>
    </w:p>
    <w:p>
      <w:pPr>
        <w:pStyle w:val="Heading1"/>
      </w:pPr>
      <w:r>
        <w:t>1. Recorded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color w:val="17365D"/>
                <w:sz w:val="17"/>
              </w:rPr>
              <w:t>Migration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color w:val="17365D"/>
                <w:sz w:val="17"/>
              </w:rPr>
              <w:t>Development applied at (UTC)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color w:val="17365D"/>
                <w:sz w:val="17"/>
              </w:rPr>
              <w:t>Production effect when published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7"/>
              </w:rPr>
              <w:t>089_align_scheme_reward_slab_generated_names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2026-09-07 13:27:58.446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7"/>
              </w:rPr>
              <w:t>Guarded no-op; intended names already exist</w:t>
            </w:r>
          </w:p>
        </w:tc>
      </w:tr>
    </w:tbl>
    <w:p>
      <w:pPr>
        <w:spacing w:after="20"/>
      </w:pPr>
    </w:p>
    <w:p>
      <w:pPr>
        <w:spacing w:after="100"/>
        <w:ind w:left="360"/>
      </w:pPr>
      <w:r>
        <w:rPr>
          <w:rFonts w:ascii="Consolas" w:hAnsi="Consolas"/>
          <w:sz w:val="17"/>
        </w:rPr>
        <w:t>ALTER SEQUENCE scheme_slab_id_seq</w:t>
        <w:br/>
        <w:t xml:space="preserve">  RENAME TO scheme_reward_slab_id_seq;</w:t>
        <w:br/>
        <w:br/>
        <w:t>ALTER TABLE scheme_reward_slab</w:t>
        <w:br/>
        <w:t xml:space="preserve">  RENAME CONSTRAINT scheme_slab_pkey</w:t>
        <w:br/>
        <w:t xml:space="preserve">  TO scheme_reward_slab_pkey;</w:t>
      </w:r>
    </w:p>
    <w:p>
      <w:r>
        <w:t>The migration wraps both renames in existence checks. It runs only when the historical name exists and the intended name does not. This makes it idempotent for production, already-aligned databases, and future databases.</w:t>
      </w:r>
    </w:p>
    <w:p>
      <w:pPr>
        <w:pStyle w:val="Heading1"/>
      </w:pPr>
      <w:r>
        <w:t>2. Development object state after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color w:val="17365D"/>
                <w:sz w:val="17"/>
              </w:rPr>
              <w:t>Check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color w:val="17365D"/>
                <w:sz w:val="17"/>
              </w:rPr>
              <w:t>Development result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Sequence name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scheme_reward_slab_id_seq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Sequence last_value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132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Sequence is_called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Next generated ID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133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Primary-key constraint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scheme_reward_slab_pkey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Primary-key index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scheme_reward_slab_pkey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Row count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132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Minimum ID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7"/>
              </w:rPr>
              <w:t>Maximum ID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7"/>
              </w:rPr>
              <w:t>132</w:t>
            </w:r>
          </w:p>
        </w:tc>
      </w:tr>
    </w:tbl>
    <w:p>
      <w:pPr>
        <w:spacing w:after="20"/>
      </w:pPr>
    </w:p>
    <w:p>
      <w:pPr>
        <w:pStyle w:val="Heading2"/>
      </w:pPr>
      <w:r>
        <w:t>ID column default</w:t>
      </w:r>
    </w:p>
    <w:p>
      <w:pPr>
        <w:spacing w:after="100"/>
        <w:ind w:left="360"/>
      </w:pPr>
      <w:r>
        <w:rPr>
          <w:rFonts w:ascii="Consolas" w:hAnsi="Consolas"/>
          <w:sz w:val="17"/>
        </w:rPr>
        <w:t>nextval('scheme_reward_slab_id_seq'::regclass)</w:t>
      </w:r>
    </w:p>
    <w:p>
      <w:r>
        <w:t>The rename preserved the existing sequence object, value, ownership, and regclass dependency. No data was replaced or regenerated.</w:t>
      </w:r>
    </w:p>
    <w:p>
      <w:pPr>
        <w:pStyle w:val="Heading1"/>
      </w:pPr>
      <w:r>
        <w:t>3. Full development-versus-production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color w:val="17365D"/>
                <w:sz w:val="17"/>
              </w:rPr>
              <w:t>Category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color w:val="17365D"/>
                <w:sz w:val="17"/>
              </w:rPr>
              <w:t>Production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color w:val="17365D"/>
                <w:sz w:val="17"/>
              </w:rPr>
              <w:t>Development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color w:val="17365D"/>
                <w:sz w:val="17"/>
              </w:rPr>
              <w:t>Result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Column defaults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255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255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No substantive differences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Constraints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225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225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Exact logical definitions and names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Indexes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277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277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Exact normalized definitions and names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Sequences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Exact match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Sequence dependencies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Exact match</w:t>
            </w:r>
          </w:p>
        </w:tc>
      </w:tr>
    </w:tbl>
    <w:p>
      <w:pPr>
        <w:spacing w:after="20"/>
      </w:pPr>
    </w:p>
    <w:p>
      <w:pPr>
        <w:pStyle w:val="Heading2"/>
      </w:pPr>
      <w:r>
        <w:t>Constraint results</w:t>
      </w:r>
    </w:p>
    <w:p>
      <w:pPr>
        <w:pStyle w:val="ListBullet"/>
        <w:spacing w:after="40"/>
      </w:pPr>
      <w:r>
        <w:t>Production-only logical constraints: none</w:t>
      </w:r>
    </w:p>
    <w:p>
      <w:pPr>
        <w:pStyle w:val="ListBullet"/>
        <w:spacing w:after="40"/>
      </w:pPr>
      <w:r>
        <w:t>Development-only logical constraints: none</w:t>
      </w:r>
    </w:p>
    <w:p>
      <w:pPr>
        <w:pStyle w:val="ListBullet"/>
        <w:spacing w:after="40"/>
      </w:pPr>
      <w:r>
        <w:t>Constraint-name differences: none</w:t>
      </w:r>
    </w:p>
    <w:p>
      <w:pPr>
        <w:pStyle w:val="Heading2"/>
      </w:pPr>
      <w:r>
        <w:t>Index results</w:t>
      </w:r>
    </w:p>
    <w:p>
      <w:pPr>
        <w:pStyle w:val="ListBullet"/>
        <w:spacing w:after="40"/>
      </w:pPr>
      <w:r>
        <w:t>Production-only logical indexes: none</w:t>
      </w:r>
    </w:p>
    <w:p>
      <w:pPr>
        <w:pStyle w:val="ListBullet"/>
        <w:spacing w:after="40"/>
      </w:pPr>
      <w:r>
        <w:t>Development-only logical indexes: none</w:t>
      </w:r>
    </w:p>
    <w:p>
      <w:pPr>
        <w:pStyle w:val="ListBullet"/>
        <w:spacing w:after="40"/>
      </w:pPr>
      <w:r>
        <w:t>Index-name differences: none</w:t>
      </w:r>
    </w:p>
    <w:p>
      <w:pPr>
        <w:pStyle w:val="Heading2"/>
      </w:pPr>
      <w:r>
        <w:t>Sequence results</w:t>
      </w:r>
    </w:p>
    <w:p>
      <w:pPr>
        <w:pStyle w:val="ListBullet"/>
        <w:spacing w:after="40"/>
      </w:pPr>
      <w:r>
        <w:t>Sequence names and properties match exactly</w:t>
      </w:r>
    </w:p>
    <w:p>
      <w:pPr>
        <w:pStyle w:val="ListBullet"/>
        <w:spacing w:after="40"/>
      </w:pPr>
      <w:r>
        <w:t>Sequence ownership/dependencies match exactly</w:t>
      </w:r>
    </w:p>
    <w:p>
      <w:pPr>
        <w:pStyle w:val="ListBullet"/>
        <w:spacing w:after="40"/>
      </w:pPr>
      <w:r>
        <w:t>scheme_reward_slab.id resolves to scheme_reward_slab_id_seq in both databases</w:t>
      </w:r>
    </w:p>
    <w:p>
      <w:pPr>
        <w:pStyle w:val="Heading2"/>
      </w:pPr>
      <w:r>
        <w:t>Equivalent default renderings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color w:val="17365D"/>
                <w:sz w:val="17"/>
              </w:rPr>
              <w:t>Column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color w:val="17365D"/>
                <w:sz w:val="17"/>
              </w:rPr>
              <w:t>Production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color w:val="17365D"/>
                <w:sz w:val="17"/>
              </w:rPr>
              <w:t>Development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color w:val="17365D"/>
                <w:sz w:val="17"/>
              </w:rPr>
              <w:t>Meaning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alert.rupees_at_stake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'0'::numeric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Numeric zero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competitor_price.discount_pct_assumed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'40'::numeric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Numeric 40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secondary_order_upload.material_reasons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'{}'::text[]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ARRAY[]::text[]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Empty text array</w:t>
            </w:r>
          </w:p>
        </w:tc>
      </w:tr>
    </w:tbl>
    <w:p>
      <w:pPr>
        <w:spacing w:after="20"/>
      </w:pPr>
    </w:p>
    <w:p>
      <w:r>
        <w:t>These expressions are semantically equivalent. The former scheme_reward_slab sequence/default divergence is gone.</w:t>
      </w:r>
    </w:p>
    <w:p>
      <w:pPr>
        <w:pStyle w:val="Heading1"/>
      </w:pPr>
      <w:r>
        <w:t>4. Safety conclusion</w:t>
      </w:r>
    </w:p>
    <w:p>
      <w:pPr>
        <w:pStyle w:val="ListBullet"/>
        <w:spacing w:after="40"/>
      </w:pPr>
      <w:r>
        <w:t>Production was not touched.</w:t>
      </w:r>
    </w:p>
    <w:p>
      <w:pPr>
        <w:pStyle w:val="ListBullet"/>
        <w:spacing w:after="40"/>
      </w:pPr>
      <w:r>
        <w:t>No sequence or table was dropped or recreated.</w:t>
      </w:r>
    </w:p>
    <w:p>
      <w:pPr>
        <w:pStyle w:val="ListBullet"/>
        <w:spacing w:after="40"/>
      </w:pPr>
      <w:r>
        <w:t>Development IDs and rows remained unchanged.</w:t>
      </w:r>
    </w:p>
    <w:p>
      <w:pPr>
        <w:pStyle w:val="ListBullet"/>
        <w:spacing w:after="40"/>
      </w:pPr>
      <w:r>
        <w:t>Migration 089 will safely record itself in production while performing no rename there.</w:t>
      </w:r>
    </w:p>
    <w:p>
      <w:pPr>
        <w:pStyle w:val="ListBullet"/>
        <w:spacing w:after="40"/>
      </w:pPr>
      <w:r>
        <w:t>The development schema no longer exposes the production slab sequence or primary-key names to reconciliation removal.</w:t>
      </w:r>
    </w:p>
    <w:p>
      <w:r>
        <w:rPr>
          <w:b/>
          <w:color w:val="006100"/>
          <w:sz w:val="24"/>
        </w:rPr>
        <w:t>Publish readiness: schema alignment checks requested for this change have passed.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Prayag Sales Intelligence • Development Schema Alignment • 7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