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62 — Section A Completion Report</w:t>
      </w:r>
    </w:p>
    <w:p>
      <w:pPr>
        <w:jc w:val="center"/>
      </w:pPr>
      <w:r>
        <w:rPr>
          <w:b/>
          <w:sz w:val="24"/>
        </w:rPr>
        <w:t>Durable Primary Monthly Ingest Ledger</w:t>
      </w:r>
    </w:p>
    <w:p>
      <w:pPr>
        <w:jc w:val="center"/>
      </w:pPr>
      <w:r>
        <w:rPr>
          <w:i/>
        </w:rPr>
        <w:t>Commit 2d8f4eef50434aec18c6c6a5eb276cd3072504b6</w:t>
      </w:r>
    </w:p>
    <w:p>
      <w:pPr>
        <w:pStyle w:val="Heading1"/>
      </w:pPr>
      <w:r>
        <w:t>1. Completion and Git Status</w:t>
      </w:r>
    </w:p>
    <w:p>
      <w:pPr>
        <w:pStyle w:val="ListBullet"/>
      </w:pPr>
      <w:r>
        <w:t>Section A was implemented, verified, committed, and pushed to origin/main.</w:t>
      </w:r>
    </w:p>
    <w:p>
      <w:pPr>
        <w:pStyle w:val="ListBullet"/>
      </w:pPr>
      <w:r>
        <w:t>Commit message: feat: persist primary monthly ingest ledger</w:t>
      </w:r>
    </w:p>
    <w:p>
      <w:pPr>
        <w:pStyle w:val="ListBullet"/>
      </w:pPr>
      <w:r>
        <w:t>Commit object was verified with git cat-file -t.</w:t>
      </w:r>
    </w:p>
    <w:p>
      <w:pPr>
        <w:ind w:left="360"/>
      </w:pPr>
      <w:r>
        <w:rPr>
          <w:rFonts w:ascii="Consolas" w:hAnsi="Consolas"/>
          <w:sz w:val="16"/>
        </w:rPr>
        <w:t>HEAD        2d8f4eef50434aec18c6c6a5eb276cd3072504b6</w:t>
        <w:br/>
        <w:t>origin/main 2d8f4eef50434aec18c6c6a5eb276cd3072504b6</w:t>
        <w:br/>
        <w:t>working tree clean</w:t>
      </w:r>
    </w:p>
    <w:p>
      <w:pPr>
        <w:pStyle w:val="Heading1"/>
      </w:pPr>
      <w:r>
        <w:t>2. Ledger Schema</w:t>
      </w:r>
    </w:p>
    <w:p>
      <w:r>
        <w:t>Migration: 087_register_monthly_ingest_ledger</w:t>
      </w:r>
    </w:p>
    <w:p>
      <w:r>
        <w:t>Table: register_monthly_ingest_ledger</w:t>
      </w:r>
    </w:p>
    <w:p>
      <w:pPr>
        <w:ind w:left="360"/>
      </w:pPr>
      <w:r>
        <w:rPr>
          <w:rFonts w:ascii="Consolas" w:hAnsi="Consolas"/>
          <w:sz w:val="16"/>
        </w:rPr>
        <w:t>CREATE TABLE register_monthly_ingest_ledger (</w:t>
        <w:br/>
        <w:t xml:space="preserve">  id SERIAL PRIMARY KEY,</w:t>
        <w:br/>
        <w:t xml:space="preserve">  run_id TEXT NOT NULL,</w:t>
        <w:br/>
        <w:t xml:space="preserve">  actor TEXT NOT NULL CHECK (actor IN ('scheduler', 'manual')),</w:t>
        <w:br/>
        <w:t xml:space="preserve">  operator TEXT,</w:t>
        <w:br/>
        <w:t xml:space="preserve">  source TEXT NOT NULL,</w:t>
        <w:br/>
        <w:t xml:space="preserve">  fy TEXT NOT NULL,</w:t>
        <w:br/>
        <w:t xml:space="preserve">  month_label TEXT NOT NULL,</w:t>
        <w:br/>
        <w:t xml:space="preserve">  attempted_at TIMESTAMPTZ NOT NULL,</w:t>
        <w:br/>
        <w:t xml:space="preserve">  completed_at TIMESTAMPTZ,</w:t>
        <w:br/>
        <w:t xml:space="preserve">  outcome TEXT NOT NULL CHECK (outcome IN (</w:t>
        <w:br/>
        <w:t xml:space="preserve">    'replaced', 'frozen-skipped', 'frozen-anchored',</w:t>
        <w:br/>
        <w:t xml:space="preserve">    'aborted-short-read', 'rejected-shrink', 'failed'</w:t>
        <w:br/>
        <w:t xml:space="preserve">  )),</w:t>
        <w:br/>
        <w:t xml:space="preserve">  write_atomicity TEXT NOT NULL CHECK (write_atomicity IN (</w:t>
        <w:br/>
        <w:t xml:space="preserve">    'same-replacement-transaction',</w:t>
        <w:br/>
        <w:t xml:space="preserve">    'ledger-only-transaction',</w:t>
        <w:br/>
        <w:t xml:space="preserve">    'post-rollback'</w:t>
        <w:br/>
        <w:t xml:space="preserve">  )),</w:t>
        <w:br/>
        <w:t xml:space="preserve">  rows_written INTEGER,</w:t>
        <w:br/>
        <w:t xml:space="preserve">  projected_rows_written INTEGER,</w:t>
        <w:br/>
        <w:t xml:space="preserve">  before_rows INTEGER, before_amount NUMERIC, before_fingerprint TEXT,</w:t>
        <w:br/>
        <w:t xml:space="preserve">  source_rows INTEGER NOT NULL, source_amount NUMERIC NOT NULL,</w:t>
        <w:br/>
        <w:t xml:space="preserve">  source_fingerprint TEXT NOT NULL,</w:t>
        <w:br/>
        <w:t xml:space="preserve">  after_rows INTEGER, after_amount NUMERIC, after_fingerprint TEXT,</w:t>
        <w:br/>
        <w:t xml:space="preserve">  source_row_delta INTEGER, source_amount_delta NUMERIC, source_shrink BOOLEAN,</w:t>
        <w:br/>
        <w:t xml:space="preserve">  actual_row_delta INTEGER, actual_amount_delta NUMERIC, actual_shrink BOOLEAN,</w:t>
        <w:br/>
        <w:t xml:space="preserve">  added_rows INTEGER, removed_rows INTEGER, changed_rows INTEGER,</w:t>
        <w:br/>
        <w:t xml:space="preserve">  confidence TEXT CHECK (confidence IS NULL OR confidence = 'heuristic'),</w:t>
        <w:br/>
        <w:t xml:space="preserve">  unpaired_residual_rows INTEGER,</w:t>
        <w:br/>
        <w:t xml:space="preserve">  spreadsheet_id TEXT,</w:t>
        <w:br/>
        <w:t xml:space="preserve">  source_evidence JSONB NOT NULL,</w:t>
        <w:br/>
        <w:t xml:space="preserve">  detail TEXT</w:t>
        <w:br/>
        <w:t>);</w:t>
      </w:r>
    </w:p>
    <w:p>
      <w:pPr>
        <w:ind w:left="360"/>
      </w:pPr>
      <w:r>
        <w:rPr>
          <w:rFonts w:ascii="Consolas" w:hAnsi="Consolas"/>
          <w:sz w:val="16"/>
        </w:rPr>
        <w:t>CREATE INDEX register_monthly_ingest_ledger_fy_month_attempt_idx</w:t>
        <w:br/>
        <w:t xml:space="preserve">  ON register_monthly_ingest_ledger (fy, month_label, attempted_at);</w:t>
        <w:br/>
        <w:t>CREATE INDEX register_monthly_ingest_ledger_run_idx</w:t>
        <w:br/>
        <w:t xml:space="preserve">  ON register_monthly_ingest_ledger (run_id);</w:t>
      </w:r>
    </w:p>
    <w:p>
      <w:pPr>
        <w:pStyle w:val="Heading1"/>
      </w:pPr>
      <w:r>
        <w:t>3. No-Write Dry-Run Sample</w:t>
      </w:r>
    </w:p>
    <w:p>
      <w:r>
        <w:t>This sample was produced by the pure dry-run preview builder. It performed no database or sheet writes.</w:t>
      </w:r>
    </w:p>
    <w:p>
      <w:pPr>
        <w:ind w:left="360"/>
      </w:pPr>
      <w:r>
        <w:rPr>
          <w:rFonts w:ascii="Consolas" w:hAnsi="Consolas"/>
          <w:sz w:val="16"/>
        </w:rPr>
        <w:t>{</w:t>
        <w:br/>
        <w:t xml:space="preserve">  "runId": "dry-run-example",</w:t>
        <w:br/>
        <w:t xml:space="preserve">  "actor": "manual",</w:t>
        <w:br/>
        <w:t xml:space="preserve">  "operator": "reviewed-operator",</w:t>
        <w:br/>
        <w:t xml:space="preserve">  "source": "register_manual_replace",</w:t>
        <w:br/>
        <w:t xml:space="preserve">  "fy": "2026-27",</w:t>
        <w:br/>
        <w:t xml:space="preserve">  "monthLabel": "Sep-26",</w:t>
        <w:br/>
        <w:t xml:space="preserve">  "attemptedAt": "2026-09-07T10:00:00.000Z",</w:t>
        <w:br/>
        <w:t xml:space="preserve">  "completedAt": "2026-09-07T11:35:19.466Z",</w:t>
        <w:br/>
        <w:t xml:space="preserve">  "outcome": "replaced",</w:t>
        <w:br/>
        <w:t xml:space="preserve">  "writeAtomicity": "same-replacement-transaction",</w:t>
        <w:br/>
        <w:t xml:space="preserve">  "rowsWritten": null,</w:t>
        <w:br/>
        <w:t xml:space="preserve">  "projectedRowsWritten": 1,</w:t>
        <w:br/>
        <w:t xml:space="preserve">  "beforeRows": 2,</w:t>
        <w:br/>
        <w:t xml:space="preserve">  "beforeAmount": "150",</w:t>
        <w:br/>
        <w:t xml:space="preserve">  "beforeFingerprint": "b5763673e43325ebc31e2d2a1b72d434cc49e97234b9bfa03273d6ed5abc160f",</w:t>
        <w:br/>
        <w:t xml:space="preserve">  "sourceRows": 1,</w:t>
        <w:br/>
        <w:t xml:space="preserve">  "sourceAmount": "100",</w:t>
        <w:br/>
        <w:t xml:space="preserve">  "sourceFingerprint": "a6f6b0fd0c865c675ab6a66a39a985906e8ba3e8acc53392223d00d12abdaa79",</w:t>
        <w:br/>
        <w:t xml:space="preserve">  "afterRows": 1,</w:t>
        <w:br/>
        <w:t xml:space="preserve">  "afterAmount": "100",</w:t>
        <w:br/>
        <w:t xml:space="preserve">  "afterFingerprint": "a6f6b0fd0c865c675ab6a66a39a985906e8ba3e8acc53392223d00d12abdaa79",</w:t>
        <w:br/>
        <w:t xml:space="preserve">  "sourceRowDelta": -1,</w:t>
        <w:br/>
        <w:t xml:space="preserve">  "sourceAmountDelta": "-50",</w:t>
        <w:br/>
        <w:t xml:space="preserve">  "sourceShrink": true,</w:t>
        <w:br/>
        <w:t xml:space="preserve">  "actualRowDelta": -1,</w:t>
        <w:br/>
        <w:t xml:space="preserve">  "actualAmountDelta": "-50",</w:t>
        <w:br/>
        <w:t xml:space="preserve">  "actualShrink": true,</w:t>
        <w:br/>
        <w:t xml:space="preserve">  "addedRows": 0,</w:t>
        <w:br/>
        <w:t xml:space="preserve">  "removedRows": 1,</w:t>
        <w:br/>
        <w:t xml:space="preserve">  "changedRows": 0,</w:t>
        <w:br/>
        <w:t xml:space="preserve">  "confidence": "heuristic",</w:t>
        <w:br/>
        <w:t xml:space="preserve">  "unpairedResidualRows": 1,</w:t>
        <w:br/>
        <w:t xml:space="preserve">  "spreadsheetId": "19LQGpkbZiecGaXdBvl48rPZT2LUz3sKekeKX5fHu7Ps",</w:t>
        <w:br/>
        <w:t xml:space="preserve">  "sourceEvidence": {</w:t>
        <w:br/>
        <w:t xml:space="preserve">    "month": "Sep-26",</w:t>
        <w:br/>
        <w:t xml:space="preserve">    "sources": [{"tab": "Sep", "contentHash": "sha256:example"}]</w:t>
        <w:br/>
        <w:t xml:space="preserve">  },</w:t>
        <w:br/>
        <w:t xml:space="preserve">  "detail": "dry-run preview; no rows, state, ledger, secondary data, or channel data written"</w:t>
        <w:br/>
        <w:t>}</w:t>
      </w:r>
    </w:p>
    <w:p>
      <w:pPr>
        <w:pStyle w:val="Heading1"/>
      </w:pPr>
      <w:r>
        <w:t>4. Transaction Guarantee</w:t>
      </w:r>
    </w:p>
    <w:p>
      <w:r>
        <w:t>For replaced and frozen-anchored outcomes, the ledger insert uses the same transaction as:</w:t>
      </w:r>
    </w:p>
    <w:p>
      <w:pPr>
        <w:pStyle w:val="ListBullet"/>
      </w:pPr>
      <w:r>
        <w:t>Per-FY/month advisory lock</w:t>
      </w:r>
    </w:p>
    <w:p>
      <w:pPr>
        <w:pStyle w:val="ListBullet"/>
      </w:pPr>
      <w:r>
        <w:t>Baseline and month-state reads</w:t>
      </w:r>
    </w:p>
    <w:p>
      <w:pPr>
        <w:pStyle w:val="ListBullet"/>
      </w:pPr>
      <w:r>
        <w:t>Existing month deletion</w:t>
      </w:r>
    </w:p>
    <w:p>
      <w:pPr>
        <w:pStyle w:val="ListBullet"/>
      </w:pPr>
      <w:r>
        <w:t>Complete row insertion</w:t>
      </w:r>
    </w:p>
    <w:p>
      <w:pPr>
        <w:pStyle w:val="ListBullet"/>
      </w:pPr>
      <w:r>
        <w:t>Written-row verification</w:t>
      </w:r>
    </w:p>
    <w:p>
      <w:pPr>
        <w:pStyle w:val="ListBullet"/>
      </w:pPr>
      <w:r>
        <w:t>register_month_state update</w:t>
      </w:r>
    </w:p>
    <w:p>
      <w:pPr>
        <w:pStyle w:val="ListBullet"/>
      </w:pPr>
      <w:r>
        <w:t>Frozen secondary-row timestamp update, where applicable</w:t>
      </w:r>
    </w:p>
    <w:p>
      <w:pPr>
        <w:pStyle w:val="ListBullet"/>
      </w:pPr>
      <w:r>
        <w:t>Ledger insertion</w:t>
      </w:r>
    </w:p>
    <w:p>
      <w:r>
        <w:t>Therefore, a successful ledger record cannot commit if its replacement or state update rolls back. A transaction failure is recorded only afterward as a separate failed entry with write_atomicity = post-rollback, so it cannot be mistaken for a committed replacement.</w:t>
      </w:r>
    </w:p>
    <w:p>
      <w:pPr>
        <w:pStyle w:val="Heading1"/>
      </w:pPr>
      <w:r>
        <w:t>5. Rejected-Read Durability</w:t>
      </w:r>
    </w:p>
    <w:p>
      <w:r>
        <w:t>A strict freeze-transition shrink now produces:</w:t>
      </w:r>
    </w:p>
    <w:p>
      <w:pPr>
        <w:ind w:left="360"/>
      </w:pPr>
      <w:r>
        <w:rPr>
          <w:rFonts w:ascii="Consolas" w:hAnsi="Consolas"/>
          <w:sz w:val="16"/>
        </w:rPr>
        <w:t>outcome = rejected-shrink</w:t>
        <w:br/>
        <w:t>write_atomicity = ledger-only-transaction</w:t>
        <w:br/>
        <w:t>after = before</w:t>
        <w:br/>
        <w:t>rows_written = null</w:t>
      </w:r>
    </w:p>
    <w:p>
      <w:r>
        <w:t>The source rows, amount, fingerprint, exact month tab, raw content hash, deltas, shrink indicators, and comparison counts remain durable. This closes the August gap where a parsed, zero-skipped read could be refused by the strict guard without leaving durable evidence.</w:t>
      </w:r>
    </w:p>
    <w:p>
      <w:r>
        <w:t>Catastrophic routine reads below the existing threshold produce outcome = aborted-short-read with write_atomicity = ledger-only-transaction.</w:t>
      </w:r>
    </w:p>
    <w:p>
      <w:pPr>
        <w:pStyle w:val="Heading1"/>
      </w:pPr>
      <w:r>
        <w:t>6. Every Nonzero Shrink Is Recorded</w:t>
      </w:r>
    </w:p>
    <w:p>
      <w:r>
        <w:t>sourceRowDelta, sourceAmountDelta, and sourceShrink are calculated before the guard decision. An accepted 0.2% reduction is therefore persisted with a negative source delta and source_shrink = true even though replacement proceeds. The existing 98% guard remains unchanged.</w:t>
      </w:r>
    </w:p>
    <w:p>
      <w:pPr>
        <w:pStyle w:val="Heading1"/>
      </w:pPr>
      <w:r>
        <w:t>7. FY2026–27 Before/After Production Counts</w:t>
      </w:r>
    </w:p>
    <w:p>
      <w:r>
        <w:t>No sync was triggered. Production was queried read-only before and after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9EAF7"/>
            <w:vAlign w:val="center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033"/>
            <w:shd w:fill="D9EAF7"/>
            <w:vAlign w:val="center"/>
          </w:tcPr>
          <w:p>
            <w:r>
              <w:rPr>
                <w:b/>
              </w:rPr>
              <w:t>Before rows</w:t>
            </w:r>
          </w:p>
        </w:tc>
        <w:tc>
          <w:tcPr>
            <w:tcW w:type="dxa" w:w="2033"/>
            <w:shd w:fill="D9EAF7"/>
            <w:vAlign w:val="center"/>
          </w:tcPr>
          <w:p>
            <w:r>
              <w:rPr>
                <w:b/>
              </w:rPr>
              <w:t>After rows</w:t>
            </w:r>
          </w:p>
        </w:tc>
        <w:tc>
          <w:tcPr>
            <w:tcW w:type="dxa" w:w="2033"/>
            <w:shd w:fill="D9EAF7"/>
            <w:vAlign w:val="center"/>
          </w:tcPr>
          <w:p>
            <w:r>
              <w:rPr>
                <w:b/>
              </w:rPr>
              <w:t>Before amount</w:t>
            </w:r>
          </w:p>
        </w:tc>
        <w:tc>
          <w:tcPr>
            <w:tcW w:type="dxa" w:w="2033"/>
            <w:shd w:fill="D9EAF7"/>
            <w:vAlign w:val="center"/>
          </w:tcPr>
          <w:p>
            <w:r>
              <w:rPr>
                <w:b/>
              </w:rPr>
              <w:t>After amount</w:t>
            </w:r>
          </w:p>
        </w:tc>
      </w:tr>
      <w:tr>
        <w:tc>
          <w:tcPr>
            <w:tcW w:type="dxa" w:w="2033"/>
            <w:vAlign w:val="center"/>
          </w:tcPr>
          <w:p>
            <w:r>
              <w:t>Apr-26</w:t>
            </w:r>
          </w:p>
        </w:tc>
        <w:tc>
          <w:tcPr>
            <w:tcW w:type="dxa" w:w="2033"/>
            <w:vAlign w:val="center"/>
          </w:tcPr>
          <w:p>
            <w:r>
              <w:t>5,542</w:t>
            </w:r>
          </w:p>
        </w:tc>
        <w:tc>
          <w:tcPr>
            <w:tcW w:type="dxa" w:w="2033"/>
            <w:vAlign w:val="center"/>
          </w:tcPr>
          <w:p>
            <w:r>
              <w:t>5,542</w:t>
            </w:r>
          </w:p>
        </w:tc>
        <w:tc>
          <w:tcPr>
            <w:tcW w:type="dxa" w:w="2033"/>
            <w:vAlign w:val="center"/>
          </w:tcPr>
          <w:p>
            <w:r>
              <w:t>₹131,081,249.77</w:t>
            </w:r>
          </w:p>
        </w:tc>
        <w:tc>
          <w:tcPr>
            <w:tcW w:type="dxa" w:w="2033"/>
            <w:vAlign w:val="center"/>
          </w:tcPr>
          <w:p>
            <w:r>
              <w:t>₹131,081,249.77</w:t>
            </w:r>
          </w:p>
        </w:tc>
      </w:tr>
      <w:tr>
        <w:tc>
          <w:tcPr>
            <w:tcW w:type="dxa" w:w="2033"/>
            <w:vAlign w:val="center"/>
          </w:tcPr>
          <w:p>
            <w:r>
              <w:t>May-26</w:t>
            </w:r>
          </w:p>
        </w:tc>
        <w:tc>
          <w:tcPr>
            <w:tcW w:type="dxa" w:w="2033"/>
            <w:vAlign w:val="center"/>
          </w:tcPr>
          <w:p>
            <w:r>
              <w:t>11,812</w:t>
            </w:r>
          </w:p>
        </w:tc>
        <w:tc>
          <w:tcPr>
            <w:tcW w:type="dxa" w:w="2033"/>
            <w:vAlign w:val="center"/>
          </w:tcPr>
          <w:p>
            <w:r>
              <w:t>11,812</w:t>
            </w:r>
          </w:p>
        </w:tc>
        <w:tc>
          <w:tcPr>
            <w:tcW w:type="dxa" w:w="2033"/>
            <w:vAlign w:val="center"/>
          </w:tcPr>
          <w:p>
            <w:r>
              <w:t>₹282,783,021.58</w:t>
            </w:r>
          </w:p>
        </w:tc>
        <w:tc>
          <w:tcPr>
            <w:tcW w:type="dxa" w:w="2033"/>
            <w:vAlign w:val="center"/>
          </w:tcPr>
          <w:p>
            <w:r>
              <w:t>₹282,783,021.58</w:t>
            </w:r>
          </w:p>
        </w:tc>
      </w:tr>
      <w:tr>
        <w:tc>
          <w:tcPr>
            <w:tcW w:type="dxa" w:w="2033"/>
            <w:vAlign w:val="center"/>
          </w:tcPr>
          <w:p>
            <w:r>
              <w:t>Jun-26</w:t>
            </w:r>
          </w:p>
        </w:tc>
        <w:tc>
          <w:tcPr>
            <w:tcW w:type="dxa" w:w="2033"/>
            <w:vAlign w:val="center"/>
          </w:tcPr>
          <w:p>
            <w:r>
              <w:t>12,868</w:t>
            </w:r>
          </w:p>
        </w:tc>
        <w:tc>
          <w:tcPr>
            <w:tcW w:type="dxa" w:w="2033"/>
            <w:vAlign w:val="center"/>
          </w:tcPr>
          <w:p>
            <w:r>
              <w:t>12,868</w:t>
            </w:r>
          </w:p>
        </w:tc>
        <w:tc>
          <w:tcPr>
            <w:tcW w:type="dxa" w:w="2033"/>
            <w:vAlign w:val="center"/>
          </w:tcPr>
          <w:p>
            <w:r>
              <w:t>₹314,278,773.47</w:t>
            </w:r>
          </w:p>
        </w:tc>
        <w:tc>
          <w:tcPr>
            <w:tcW w:type="dxa" w:w="2033"/>
            <w:vAlign w:val="center"/>
          </w:tcPr>
          <w:p>
            <w:r>
              <w:t>₹314,278,773.47</w:t>
            </w:r>
          </w:p>
        </w:tc>
      </w:tr>
      <w:tr>
        <w:tc>
          <w:tcPr>
            <w:tcW w:type="dxa" w:w="2033"/>
            <w:vAlign w:val="center"/>
          </w:tcPr>
          <w:p>
            <w:r>
              <w:t>Jul-26</w:t>
            </w:r>
          </w:p>
        </w:tc>
        <w:tc>
          <w:tcPr>
            <w:tcW w:type="dxa" w:w="2033"/>
            <w:vAlign w:val="center"/>
          </w:tcPr>
          <w:p>
            <w:r>
              <w:t>13,803</w:t>
            </w:r>
          </w:p>
        </w:tc>
        <w:tc>
          <w:tcPr>
            <w:tcW w:type="dxa" w:w="2033"/>
            <w:vAlign w:val="center"/>
          </w:tcPr>
          <w:p>
            <w:r>
              <w:t>13,803</w:t>
            </w:r>
          </w:p>
        </w:tc>
        <w:tc>
          <w:tcPr>
            <w:tcW w:type="dxa" w:w="2033"/>
            <w:vAlign w:val="center"/>
          </w:tcPr>
          <w:p>
            <w:r>
              <w:t>₹321,028,904.63</w:t>
            </w:r>
          </w:p>
        </w:tc>
        <w:tc>
          <w:tcPr>
            <w:tcW w:type="dxa" w:w="2033"/>
            <w:vAlign w:val="center"/>
          </w:tcPr>
          <w:p>
            <w:r>
              <w:t>₹321,028,904.63</w:t>
            </w:r>
          </w:p>
        </w:tc>
      </w:tr>
      <w:tr>
        <w:tc>
          <w:tcPr>
            <w:tcW w:type="dxa" w:w="2033"/>
            <w:vAlign w:val="center"/>
          </w:tcPr>
          <w:p>
            <w:r>
              <w:t>Aug-26</w:t>
            </w:r>
          </w:p>
        </w:tc>
        <w:tc>
          <w:tcPr>
            <w:tcW w:type="dxa" w:w="2033"/>
            <w:vAlign w:val="center"/>
          </w:tcPr>
          <w:p>
            <w:r>
              <w:t>12,878</w:t>
            </w:r>
          </w:p>
        </w:tc>
        <w:tc>
          <w:tcPr>
            <w:tcW w:type="dxa" w:w="2033"/>
            <w:vAlign w:val="center"/>
          </w:tcPr>
          <w:p>
            <w:r>
              <w:t>12,878</w:t>
            </w:r>
          </w:p>
        </w:tc>
        <w:tc>
          <w:tcPr>
            <w:tcW w:type="dxa" w:w="2033"/>
            <w:vAlign w:val="center"/>
          </w:tcPr>
          <w:p>
            <w:r>
              <w:t>₹304,228,618.69</w:t>
            </w:r>
          </w:p>
        </w:tc>
        <w:tc>
          <w:tcPr>
            <w:tcW w:type="dxa" w:w="2033"/>
            <w:vAlign w:val="center"/>
          </w:tcPr>
          <w:p>
            <w:r>
              <w:t>₹304,228,618.69</w:t>
            </w:r>
          </w:p>
        </w:tc>
      </w:tr>
      <w:tr>
        <w:tc>
          <w:tcPr>
            <w:tcW w:type="dxa" w:w="2033"/>
            <w:vAlign w:val="center"/>
          </w:tcPr>
          <w:p>
            <w:r>
              <w:t>Sep-26</w:t>
            </w:r>
          </w:p>
        </w:tc>
        <w:tc>
          <w:tcPr>
            <w:tcW w:type="dxa" w:w="2033"/>
            <w:vAlign w:val="center"/>
          </w:tcPr>
          <w:p>
            <w:r>
              <w:t>122</w:t>
            </w:r>
          </w:p>
        </w:tc>
        <w:tc>
          <w:tcPr>
            <w:tcW w:type="dxa" w:w="2033"/>
            <w:vAlign w:val="center"/>
          </w:tcPr>
          <w:p>
            <w:r>
              <w:t>122</w:t>
            </w:r>
          </w:p>
        </w:tc>
        <w:tc>
          <w:tcPr>
            <w:tcW w:type="dxa" w:w="2033"/>
            <w:vAlign w:val="center"/>
          </w:tcPr>
          <w:p>
            <w:r>
              <w:t>₹6,900,063.28</w:t>
            </w:r>
          </w:p>
        </w:tc>
        <w:tc>
          <w:tcPr>
            <w:tcW w:type="dxa" w:w="2033"/>
            <w:vAlign w:val="center"/>
          </w:tcPr>
          <w:p>
            <w:r>
              <w:t>₹6,900,063.28</w:t>
            </w:r>
          </w:p>
        </w:tc>
      </w:tr>
    </w:tbl>
    <w:p>
      <w:r>
        <w:t>Unchanged: sync scope, openMonthLabels, freeze clock, SHORT_READ_TOLERANCE, full monthly replacement behavior, and existing force semantics.</w:t>
      </w:r>
    </w:p>
    <w:p>
      <w:pPr>
        <w:pStyle w:val="Heading1"/>
      </w:pPr>
      <w:r>
        <w:t>8. Verification</w:t>
      </w:r>
    </w:p>
    <w:p>
      <w:pPr>
        <w:pStyle w:val="ListBullet"/>
      </w:pPr>
      <w:r>
        <w:t>Database TypeScript declarations passed</w:t>
      </w:r>
    </w:p>
    <w:p>
      <w:pPr>
        <w:pStyle w:val="ListBullet"/>
      </w:pPr>
      <w:r>
        <w:t>API server typecheck passed</w:t>
      </w:r>
    </w:p>
    <w:p>
      <w:pPr>
        <w:pStyle w:val="ListBullet"/>
      </w:pPr>
      <w:r>
        <w:t>Focused ledger tests: 5 passed</w:t>
      </w:r>
    </w:p>
    <w:p>
      <w:pPr>
        <w:pStyle w:val="ListBullet"/>
      </w:pPr>
      <w:r>
        <w:t>git diff --check passed</w:t>
      </w:r>
    </w:p>
    <w:p>
      <w:pPr>
        <w:pStyle w:val="ListBullet"/>
      </w:pPr>
      <w:r>
        <w:t>No re-sync or production data write occurred</w:t>
      </w:r>
    </w:p>
    <w:p>
      <w:pPr>
        <w:pStyle w:val="Heading1"/>
      </w:pPr>
      <w:r>
        <w:t>9. Publishing Status</w:t>
      </w:r>
    </w:p>
    <w:p>
      <w:r>
        <w:t>The public deployment at https://prayag-sales.com was healthy when checked. Publishing the new commit requires confirmation through Replit’s Publish action.</w:t>
      </w:r>
    </w:p>
    <w:p>
      <w:pPr>
        <w:ind w:left="360"/>
      </w:pPr>
      <w:r>
        <w:rPr>
          <w:rFonts w:ascii="Consolas" w:hAnsi="Consolas"/>
          <w:sz w:val="16"/>
        </w:rPr>
        <w:t>origin/main:    2d8f4eef50434aec18c6c6a5eb276cd3072504b6</w:t>
        <w:br/>
        <w:t>deployed commit: pending the new Publish action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Prompt 62 — Section A | Primary Monthly Ingest Ledger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