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PRAYAG DISTRIBUTOR ANALYSIS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Prompt O1-H - five loose ends before labelling</w:t>
      </w:r>
    </w:p>
    <w:p>
      <w:pPr>
        <w:spacing w:after="150"/>
      </w:pPr>
      <w:r>
        <w:rPr>
          <w:i/>
          <w:iCs/>
          <w:color w:val="555555"/>
        </w:rPr>
        <w:t xml:space="preserve">O1-G's head-filter work was properly proven. These five remain, and item 5 must be settled before O3.</w:t>
      </w:r>
    </w:p>
    <w:p>
      <w:pPr>
        <w:pStyle w:val="Heading1"/>
        <w:spacing w:after="110" w:before="250"/>
      </w:pPr>
      <w:r>
        <w:rPr>
          <w:b/>
          <w:bCs/>
        </w:rPr>
        <w:t xml:space="preserve">What O1-G settled, and what it did not</w:t>
      </w:r>
    </w:p>
    <w:p>
      <w:pPr>
        <w:spacing w:after="100"/>
      </w:pPr>
      <w:r>
        <w:t xml:space="preserve">The head filter is fixed and PROVEN: 664 rows with the head parameter and 664 without was the no-op demonstrated beyond argument, two independent absences were found and fixed, and BMW Polytube now sits under Sandeep Dadheech with zero Bihar rows under Anant Singh. The Laspeyres figures are real - 1.069 company-wide, all nine categories above 1.0, and Rs 313.1 Cr of LY coverage which checks against the register at 87.1 percent. Scheme eligibility is proven empty rather than asserted.</w:t>
      </w:r>
    </w:p>
    <w:p>
      <w:pPr>
        <w:pStyle w:val="Heading2"/>
        <w:spacing w:after="70" w:before="190"/>
      </w:pPr>
      <w:r>
        <w:rPr>
          <w:b/>
          <w:bCs/>
        </w:rPr>
        <w:t xml:space="preserve">Five items remain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BMW explanation is factually wrong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 explanation that contradicts its own data undermines the figures it defends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Two scheme systems, one unwired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scheme entered in the UI has no effect on nudges, silently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Head coverage not verified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Customers with no head vanish from every per-head view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219 to 71 unreconciled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Presented as if only the head filter changed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Channel Partners reads a retailer count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O2 made it a correct sum of the wrong column - blocks O3</w:t>
            </w:r>
          </w:p>
        </w:tc>
      </w:tr>
    </w:tbl>
    <w:p>
      <w:pPr>
        <w:pStyle w:val="Heading2"/>
        <w:spacing w:after="70" w:before="190"/>
      </w:pPr>
      <w:r>
        <w:rPr>
          <w:b/>
          <w:bCs/>
        </w:rPr>
        <w:t xml:space="preserve">Item 5 in detail - this one blocks O3</w:t>
      </w:r>
    </w:p>
    <w:p>
      <w:pPr>
        <w:pBdr>
          <w:top w:val="single" w:color="E0B4A8" w:sz="6" w:space="6"/>
          <w:bottom w:val="single" w:color="E0B4A8" w:sz="6" w:space="6"/>
          <w:left w:val="single" w:color="E0B4A8" w:sz="6" w:space="6"/>
          <w:right w:val="single" w:color="E0B4A8" w:sz="6" w:space="6"/>
        </w:pBdr>
        <w:shd w:fill="FBE9E7" w:color="auto" w:val="clear"/>
        <w:spacing w:after="120"/>
      </w:pPr>
      <w:r>
        <w:t xml:space="preserve">Column K of the secondary report is headed 'Total Dealer 26-27', and the Channel Partners card uses it for its Dealers component. But column K is a RETAILER count. Prasun's column K reads 73, and he has 73 retailers - of which only 12 are direct dealers. Ravinder Puri's reads 96 against 95 retailers.</w:t>
      </w:r>
    </w:p>
    <w:p>
      <w:pPr>
        <w:spacing w:after="100"/>
      </w:pPr>
      <w:r>
        <w:t xml:space="preserve">O2 correctly fixed the merged-cell bug, so this component moves from 1,256 to 11,338. The sum is now right and the column is still wrong. Channel Partners would read 269 distributors plus 11,338 retailers = 11,607, while the Retailers card separately shows 18,117 - two cards counting overlapping populations, one of them adding distributors to retailers and calling the result channel partners.</w:t>
      </w:r>
    </w:p>
    <w:p>
      <w:pPr>
        <w:pBdr>
          <w:top w:val="single" w:color="BBCCDD" w:sz="6" w:space="6"/>
          <w:bottom w:val="single" w:color="BBCCDD" w:sz="6" w:space="6"/>
          <w:left w:val="single" w:color="BBCCDD" w:sz="6" w:space="6"/>
          <w:right w:val="single" w:color="BBCCDD" w:sz="6" w:space="6"/>
        </w:pBdr>
        <w:shd w:fill="EEF3F7" w:color="auto" w:val="clear"/>
        <w:spacing w:after="120"/>
      </w:pPr>
      <w:r>
        <w:t xml:space="preserve">A card cannot be labelled honestly until it is known what it counts. That is why this belongs before O3 rather than in it.</w:t>
      </w:r>
    </w:p>
    <w:p>
      <w:pPr>
        <w:pStyle w:val="Heading1"/>
        <w:spacing w:after="110" w:before="250"/>
      </w:pPr>
      <w:r>
        <w:rPr>
          <w:b/>
          <w:bCs/>
        </w:rPr>
        <w:t xml:space="preserve">Prompt O1-H</w:t>
      </w:r>
    </w:p>
    <w:p>
      <w:pPr>
        <w:spacing w:after="20" w:before="100"/>
      </w:pPr>
      <w:r>
        <w:rPr>
          <w:b/>
          <w:bCs/>
          <w:i/>
          <w:iCs/>
          <w:color w:val="444444"/>
        </w:rPr>
        <w:t xml:space="preserve">PROMPT - O1-H (copy the box below)</w:t>
      </w:r>
    </w:p>
    <w:p>
      <w:pPr>
        <w:pBdr>
          <w:top w:val="single" w:color="BBBBBB" w:sz="6" w:space="6"/>
          <w:bottom w:val="single" w:color="BBBBBB" w:sz="6" w:space="6"/>
          <w:left w:val="single" w:color="BBBBBB" w:sz="6" w:space="6"/>
          <w:right w:val="single" w:color="BBBBBB" w:sz="6" w:space="6"/>
        </w:pBdr>
        <w:shd w:fill="F2F2F2" w:color="auto" w:val="clear"/>
        <w:spacing w:after="160" w:before="60"/>
      </w:pPr>
      <w:r>
        <w:rPr>
          <w:rFonts w:ascii="Courier New" w:cs="Courier New" w:eastAsia="Courier New" w:hAnsi="Courier New"/>
          <w:sz w:val="16"/>
          <w:szCs w:val="16"/>
        </w:rPr>
        <w:t xml:space="preserve">Prayag app - correction O1-H. Same global rules as every earlier phase. Send before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O3. Items 1 to 4 are small; item 5 must be settled before any card is labelled.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1. CORRECT THE BMW EXPLANATION IN THE RECORD.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O1-G states that BMW Polytube 'had zero FY2025-26 primary sales'. That is false -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O1-F's own sample row shows qtyLy 253,598 units and valLy Rs 1,33,51,569, and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13,351,569 / 253,598 = 52.65, exactly the reported priceLy.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 correct reconciliation needs no such story: the company multiplier 1.069 is a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LASPEYRES index with the LY basket fixed and mix removed, while the customer-level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priceChangePct is a RAW average realized price that moves with product mix. They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are different measures and are not comparable.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Confirm this is how customer-level priceChangePct is actually computed, and make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sure the UI does not present the two side by side as if they were the same thing.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2. TWO SCHEME SYSTEMS - WHICH IS AUTHORITATIVE?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scheme_def and scheme_slab are DB tables fed by the UI, currently empty. The nudge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engine uses a SEPARATE schemeMaster JSON bundled at build time. So a scheme entered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through the UI today would have no effect on nudges, and nothing on screen would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say so.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Report: which system is intended to be authoritative; what happens today if a user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enters a scheme in the UI; and whether the two are meant to converge. If they are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not converging, the UI must state that scheme definitions entered there do not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drive nudges. This is the same shape as sale_line_current - a mechanism people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reasonably assume is connected, and is not.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3. DOES EVERY CUSTOMER BELONG TO A HEAD?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 filter is head_canon = $6, so any customer whose head_canon is null or blank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appears company-wide but vanishes from EVERY per-head view.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Report: the customer count per head_canon for FY2026-27, including null and blank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as their own rows, and whether the per-head counts sum to the company-wide 664.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Anant Singh returns 51 and Sandeep Dadheech 71; report every head. Note that OTHER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and PROJECT exist as head values in the primary data - state how they are handled.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4. RECONCILE 219 TO 71.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O1-F reported 219 nudges with no quarter parameter; O1-G reports 71 company-wide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with q=Q1. That is presented as though only the head filter changed, but the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quarter scope differs too. State the nudge count company-wide for the SAME scope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as the original 219 call, and confirm the 219 figure is fully explained.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5. WHAT DOES THE CHANNEL PARTNERS CARD ACTUALLY COUNT?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Its Dealers component reads column K 'Total Dealer 26-27' of the secondary report.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Column K is a RETAILER count: Prasun's reads 73 and he has 73 retailers, of which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only 12 are direct dealers; Ravinder Puri's reads 96 against 95 retailers.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After O2 this component becomes 11,338 - a correct sum of the wrong column - while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 Retailers card separately shows 18,117.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Report: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a) what column K actually counts, confirmed against two members' own sheets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b) where a genuine DIRECT DEALER count can be sourced - a direct dealer is a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customer with no assigned distributor, which is identifiable in the member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sheets and in customer_master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c) the company-wide direct dealer count from that source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d) whether the Retailers card (18,117) and this component overlap, and by how much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Then propose - do not yet implement - what the Channel Partners card should count.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Acceptance: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the BMW correction is recorded and the two price measures are confirmed distinct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the authoritative scheme system is named, and the UI gap is either closed or stated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per-head customer counts are reported for every head including null and blank, with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the sum compared against 664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the 219 figure is fully explained on its own scope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column K's true meaning is confirmed, a genuine direct dealer count is sourced, and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a proposal for the Channel Partners card is made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no card labels are changed in this prompt - that is O3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O1-H</dc:title>
  <dc:creator>Prayag AI Team</dc:creator>
  <cp:lastModifiedBy>Un-named</cp:lastModifiedBy>
  <cp:revision>1</cp:revision>
  <dcterms:created xsi:type="dcterms:W3CDTF">2026-07-24T11:42:21.665Z</dcterms:created>
  <dcterms:modified xsi:type="dcterms:W3CDTF">2026-07-24T11:42:21.691Z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