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PROMPT 82</w:t>
      </w:r>
    </w:p>
    <w:p>
      <w:pPr>
        <w:pStyle w:val="Title"/>
        <w:jc w:val="center"/>
      </w:pPr>
      <w:r>
        <w:t>Overview Redesign</w:t>
      </w:r>
    </w:p>
    <w:p>
      <w:pPr>
        <w:jc w:val="center"/>
      </w:pPr>
      <w:r>
        <w:rPr>
          <w:b/>
          <w:color w:val="1F4E78"/>
          <w:sz w:val="30"/>
        </w:rPr>
        <w:t>Performance · Cost · Growth</w:t>
      </w:r>
    </w:p>
    <w:p>
      <w:pPr>
        <w:jc w:val="center"/>
      </w:pPr>
      <w:r>
        <w:t>Section A — Read-only evidence assessment</w:t>
        <w:br/>
        <w:t>Section B — Design comments and recommended sequence</w:t>
      </w:r>
    </w:p>
    <w:p>
      <w:pPr>
        <w:jc w:val="center"/>
      </w:pPr>
      <w:r>
        <w:rPr>
          <w:color w:val="666666"/>
        </w:rPr>
        <w:t>13 September 2026</w:t>
      </w:r>
    </w:p>
    <w:p/>
    <w:p>
      <w:pPr>
        <w:spacing w:after="80"/>
        <w:ind w:left="216"/>
      </w:pPr>
      <w:r>
        <w:rPr>
          <w:i/>
          <w:color w:val="595959"/>
        </w:rPr>
        <w:t>No code, database, workflow, or configuration changes were made during this assessment. Every figure below names its source and incomplete periods remain explicitly unavailable or provisional.</w:t>
      </w:r>
    </w:p>
    <w:p>
      <w:pPr>
        <w:pStyle w:val="Heading1"/>
      </w:pPr>
      <w:r>
        <w:t>Executive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547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 trend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available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 first; this is the highest-value change.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Order-booking trend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Data available, basis conflict</w:t>
            </w:r>
          </w:p>
        </w:tc>
        <w:tc>
          <w:tcPr>
            <w:tcW w:type="dxa" w:w="547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Choose secondary NET or primary Order Book before build.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Achievement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Existing contract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Cheap to add with numerator and denominator.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SKU concentration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Data available</w:t>
            </w:r>
          </w:p>
        </w:tc>
        <w:tc>
          <w:tcPr>
            <w:tcW w:type="dxa" w:w="547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Can ship independently.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Margin and mix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Wait for category bridge and PTMT BOM resolution.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Cost productivity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Partial external coverage</w:t>
            </w:r>
          </w:p>
        </w:tc>
        <w:tc>
          <w:tcPr>
            <w:tcW w:type="dxa" w:w="547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Build after company/head completeness is verified.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Realisation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Conflicting definitions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build until 61.8% versus 45.61% is reconciled.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Coverage roll-up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Components exist</w:t>
            </w:r>
          </w:p>
        </w:tc>
        <w:tc>
          <w:tcPr>
            <w:tcW w:type="dxa" w:w="547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Needs completeness-aware company aggregation.</w:t>
            </w:r>
          </w:p>
        </w:tc>
      </w:tr>
    </w:tbl>
    <w:p>
      <w:pPr>
        <w:spacing w:after="40"/>
      </w:pPr>
    </w:p>
    <w:p>
      <w:pPr>
        <w:pStyle w:val="Heading1"/>
      </w:pPr>
      <w:r>
        <w:t>Section A — What can be served</w:t>
      </w:r>
    </w:p>
    <w:p>
      <w:pPr>
        <w:pStyle w:val="Heading2"/>
      </w:pPr>
      <w:r>
        <w:t>A1. Monthly sales LY versus TY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work</w:t>
      </w:r>
    </w:p>
    <w:p>
      <w:pPr>
        <w:spacing w:after="60"/>
      </w:pPr>
      <w:r>
        <w:rPr>
          <w:b/>
        </w:rPr>
        <w:t xml:space="preserve">Source: </w:t>
      </w:r>
      <w:r>
        <w:t>Development PostgreSQL sale_line view; current-version register rows; taxable sales/dispatch value by FY and month_label.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FY2026-27</w:t>
            </w:r>
          </w:p>
        </w:tc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FY2025-26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Growth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₹13.11 Cr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₹15.06 Cr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−13.0%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May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₹28.28 Cr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₹29.62 Cr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−4.5%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Jun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₹31.43 Cr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₹29.87 Cr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+5.2%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Jul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₹32.10 Cr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₹26.34 Cr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+21.9%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₹30.43 Cr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₹25.36 Cr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+20.0%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Sep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₹1.93 Cr provisional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₹26.53 Cr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Not a trend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Oct–Mar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Unavailable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Available in FY2025-26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year not recorded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Apr–May: −7.4%.</w:t>
      </w:r>
    </w:p>
    <w:p>
      <w:pPr>
        <w:pStyle w:val="ListBullet"/>
        <w:spacing w:after="40"/>
      </w:pPr>
      <w:r>
        <w:t>Jun–Aug: +15.2%.</w:t>
      </w:r>
    </w:p>
    <w:p>
      <w:pPr>
        <w:pStyle w:val="ListBullet"/>
        <w:spacing w:after="40"/>
      </w:pPr>
      <w:r>
        <w:t>Apr–Aug: +7.2%.</w:t>
      </w:r>
    </w:p>
    <w:p>
      <w:pPr>
        <w:pStyle w:val="ListBullet"/>
        <w:spacing w:after="40"/>
      </w:pPr>
      <w:r>
        <w:t>FY2025-26 full year: ₹361.00 Cr.</w:t>
      </w:r>
    </w:p>
    <w:p>
      <w:pPr>
        <w:pStyle w:val="ListBullet"/>
        <w:spacing w:after="40"/>
      </w:pPr>
      <w:r>
        <w:t>FY2026-27 Apr–Aug: ₹135.35 Cr.</w:t>
      </w:r>
    </w:p>
    <w:p>
      <w:pPr>
        <w:spacing w:after="80"/>
        <w:ind w:left="216"/>
      </w:pPr>
      <w:r>
        <w:rPr>
          <w:i/>
          <w:color w:val="595959"/>
        </w:rPr>
        <w:t>September is partial as of 13 September 2026. The current company-report payload needs a combined LY/TY/growth monthly result.</w:t>
      </w:r>
    </w:p>
    <w:p>
      <w:pPr>
        <w:pStyle w:val="Heading2"/>
      </w:pPr>
      <w:r>
        <w:t>A2. Monthly order booking LY versus TY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work; source basis must be agreed</w:t>
      </w:r>
    </w:p>
    <w:p>
      <w:pPr>
        <w:spacing w:after="60"/>
      </w:pPr>
      <w:r>
        <w:rPr>
          <w:b/>
        </w:rPr>
        <w:t xml:space="preserve">Source: </w:t>
      </w:r>
      <w:r>
        <w:t>Verified totals from development PostgreSQL secondary_sku_line using signed net_amount. This is order booking, not sales or dispatch.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FY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Recorded total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Months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FY2024-25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₹216.00 Cr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FY2025-26</w:t>
            </w:r>
          </w:p>
        </w:tc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₹231.09 Cr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FY2026-27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₹87.00 Cr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Exact FY2024-25 total: ₹216,00,02,656.</w:t>
      </w:r>
    </w:p>
    <w:p>
      <w:pPr>
        <w:pStyle w:val="ListBullet"/>
        <w:spacing w:after="40"/>
      </w:pPr>
      <w:r>
        <w:t>Exact FY2025-26 total: ₹231,09,13,869.</w:t>
      </w:r>
    </w:p>
    <w:p>
      <w:pPr>
        <w:pStyle w:val="ListBullet"/>
        <w:spacing w:after="40"/>
      </w:pPr>
      <w:r>
        <w:t>Apr–Jul FY2025-26: ₹70.25 Cr.</w:t>
      </w:r>
    </w:p>
    <w:p>
      <w:pPr>
        <w:pStyle w:val="ListBullet"/>
        <w:spacing w:after="40"/>
      </w:pPr>
      <w:r>
        <w:t>Apr–Jul FY2026-27: ₹81.36 Cr.</w:t>
      </w:r>
    </w:p>
    <w:p>
      <w:pPr>
        <w:pStyle w:val="ListBullet"/>
        <w:spacing w:after="40"/>
      </w:pPr>
      <w:r>
        <w:t>Comparable growth on this basis: +15.8%.</w:t>
      </w:r>
    </w:p>
    <w:p>
      <w:pPr>
        <w:spacing w:after="80"/>
        <w:ind w:left="216"/>
      </w:pPr>
      <w:r>
        <w:rPr>
          <w:i/>
          <w:color w:val="595959"/>
        </w:rPr>
        <w:t>The prompt’s +14.0% does not reproduce from secondary_sku_line and likely uses primary Order Book sheets. The Overview must select one authoritative basis before C1. August completeness/provenance also needs confirmation.</w:t>
      </w:r>
    </w:p>
    <w:p>
      <w:pPr>
        <w:pStyle w:val="Heading2"/>
      </w:pPr>
      <w:r>
        <w:t>A3. Gross margin by category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work and material caveats</w:t>
      </w:r>
    </w:p>
    <w:p>
      <w:pPr>
        <w:spacing w:after="60"/>
      </w:pPr>
      <w:r>
        <w:rPr>
          <w:b/>
        </w:rPr>
        <w:t xml:space="preserve">Source: </w:t>
      </w:r>
      <w:r>
        <w:t>PostgreSQL margin_fact. Weighted factory BOM contribution, not accounting net profit.</w:t>
      </w:r>
    </w:p>
    <w:p>
      <w:pPr>
        <w:pStyle w:val="ListBullet"/>
        <w:spacing w:after="40"/>
      </w:pPr>
      <w:r>
        <w:t>FY2025-26: 12 months, 25,631 rows.</w:t>
      </w:r>
    </w:p>
    <w:p>
      <w:pPr>
        <w:pStyle w:val="ListBullet"/>
        <w:spacing w:after="40"/>
      </w:pPr>
      <w:r>
        <w:t>FY2026-27: April–June only, 6,548 rows.</w:t>
      </w:r>
    </w:p>
    <w:p>
      <w:pPr>
        <w:pStyle w:val="ListBullet"/>
        <w:spacing w:after="40"/>
      </w:pPr>
      <w:r>
        <w:t>July onward: unavailable.</w:t>
      </w:r>
    </w:p>
    <w:p>
      <w:pPr>
        <w:pStyle w:val="ListBullet"/>
        <w:spacing w:after="40"/>
      </w:pPr>
      <w:r>
        <w:t>PTMT January–April BOM basis remains unresolved.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Observed example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Weighted contribution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FY2025-26 April PTMT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76.17%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FY2026-27 April PTMT</w:t>
            </w:r>
          </w:p>
        </w:tc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86.47%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FY2026-27 May PTMT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68.50%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FY2026-27 June PTMT</w:t>
            </w:r>
          </w:p>
        </w:tc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69.19%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FY2026-27 April C 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40.63%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FY2026-27 April Sanitaryware</w:t>
            </w:r>
          </w:p>
        </w:tc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41.59%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FY2026-27 April Hardware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48.34%</w:t>
            </w:r>
          </w:p>
        </w:tc>
      </w:tr>
    </w:tbl>
    <w:p>
      <w:pPr>
        <w:spacing w:after="40"/>
      </w:pPr>
    </w:p>
    <w:p>
      <w:pPr>
        <w:spacing w:after="80"/>
        <w:ind w:left="216"/>
      </w:pPr>
      <w:r>
        <w:rPr>
          <w:i/>
          <w:color w:val="595959"/>
        </w:rPr>
        <w:t>An April–June view can be served with explicit coverage. A clean current-YTD company margin cannot yet be claimed.</w:t>
      </w:r>
    </w:p>
    <w:p>
      <w:pPr>
        <w:pStyle w:val="Heading2"/>
      </w:pPr>
      <w:r>
        <w:t>A4. Achievement by state head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008000"/>
        </w:rPr>
        <w:t>Available now, with live-source dependency</w:t>
      </w:r>
    </w:p>
    <w:p>
      <w:pPr>
        <w:spacing w:after="60"/>
      </w:pPr>
      <w:r>
        <w:rPr>
          <w:b/>
        </w:rPr>
        <w:t xml:space="preserve">Source: </w:t>
      </w:r>
      <w:r>
        <w:t>Denominator: primary_state_targets.targetLakh. Numerator: monthly Order Book sheets through the existing state-achievement loader.</w:t>
      </w:r>
    </w:p>
    <w:p>
      <w:pPr>
        <w:pStyle w:val="ListBullet"/>
        <w:spacing w:after="40"/>
      </w:pPr>
      <w:r>
        <w:t>Existing result already exposes state-head target, actual, actual ÷ target, monthly cells, and company totals.</w:t>
      </w:r>
    </w:p>
    <w:p>
      <w:pPr>
        <w:pStyle w:val="ListBullet"/>
        <w:spacing w:after="40"/>
      </w:pPr>
      <w:r>
        <w:t>New territories preserve unavailable rather than showing false underperformance.</w:t>
      </w:r>
    </w:p>
    <w:p>
      <w:pPr>
        <w:pStyle w:val="ListBullet"/>
        <w:spacing w:after="40"/>
      </w:pPr>
      <w:r>
        <w:t>Exact current head figures require a live Order Book read and should not be hardcoded.</w:t>
      </w:r>
    </w:p>
    <w:p>
      <w:pPr>
        <w:spacing w:after="80"/>
        <w:ind w:left="216"/>
      </w:pPr>
      <w:r>
        <w:rPr>
          <w:i/>
          <w:color w:val="595959"/>
        </w:rPr>
        <w:t>The separate company secondary Q1 anchor—target ₹82.32 Cr and achievement 69.9%—is a different basis and must not replace the primary state-head result.</w:t>
      </w:r>
    </w:p>
    <w:p>
      <w:pPr>
        <w:pStyle w:val="Heading2"/>
      </w:pPr>
      <w:r>
        <w:t>A5. CTC and T.A.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substantial work; incomplete coverage</w:t>
      </w:r>
    </w:p>
    <w:p>
      <w:pPr>
        <w:spacing w:after="60"/>
      </w:pPr>
      <w:r>
        <w:rPr>
          <w:b/>
        </w:rPr>
        <w:t xml:space="preserve">Source: </w:t>
      </w:r>
      <w:r>
        <w:t>Monthly CTC from HR roster/State Head Dashboard Data tab; cumulative YTD T.A. from Data tab; canonical roster/person registry for attribution.</w:t>
      </w:r>
    </w:p>
    <w:p>
      <w:pPr>
        <w:pStyle w:val="ListBullet"/>
        <w:spacing w:after="40"/>
      </w:pPr>
      <w:r>
        <w:t>YTD CTC = monthly CTC × complete fiscal months.</w:t>
      </w:r>
    </w:p>
    <w:p>
      <w:pPr>
        <w:pStyle w:val="ListBullet"/>
        <w:spacing w:after="40"/>
      </w:pPr>
      <w:r>
        <w:t>YTD T.A. is cumulative and must not be multiplied.</w:t>
      </w:r>
    </w:p>
    <w:p>
      <w:pPr>
        <w:pStyle w:val="ListBullet"/>
        <w:spacing w:after="40"/>
      </w:pPr>
      <w:r>
        <w:t>Total cost = YTD CTC + YTD T.A.</w:t>
      </w:r>
    </w:p>
    <w:p>
      <w:pPr>
        <w:pStyle w:val="ListBullet"/>
        <w:spacing w:after="40"/>
      </w:pPr>
      <w:r>
        <w:t>Cost ratio = total cost ÷ sales received.</w:t>
      </w:r>
    </w:p>
    <w:p>
      <w:pPr>
        <w:pStyle w:val="ListBullet"/>
        <w:spacing w:after="40"/>
      </w:pPr>
      <w:r>
        <w:t>Missing CTC makes cost metrics unavailable, not zero.</w:t>
      </w:r>
    </w:p>
    <w:p>
      <w:pPr>
        <w:pStyle w:val="ListBullet"/>
        <w:spacing w:after="40"/>
      </w:pPr>
      <w:r>
        <w:t>cost_master is empty; MRP must not substitute for cost.</w:t>
      </w:r>
    </w:p>
    <w:p>
      <w:pPr>
        <w:spacing w:after="80"/>
        <w:ind w:left="216"/>
      </w:pPr>
      <w:r>
        <w:rPr>
          <w:i/>
          <w:color w:val="595959"/>
        </w:rPr>
        <w:t>No trustworthy current company/head roll-up was found. Member-level values exist only where the external source is populated.</w:t>
      </w:r>
    </w:p>
    <w:p>
      <w:pPr>
        <w:pStyle w:val="Heading2"/>
      </w:pPr>
      <w:r>
        <w:t>A6. Six-master category mix and YoY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00000"/>
        </w:rPr>
        <w:t>Available with work, but currently blocked from trustworthy display</w:t>
      </w:r>
    </w:p>
    <w:p>
      <w:pPr>
        <w:spacing w:after="60"/>
      </w:pPr>
      <w:r>
        <w:rPr>
          <w:b/>
        </w:rPr>
        <w:t xml:space="preserve">Source: </w:t>
      </w:r>
      <w:r>
        <w:t>Sales value from sale_line; category authority from the six-master registry: Plumbing, PTMT, C P, Sanitaryware, Sink, Hardware.</w:t>
      </w:r>
    </w:p>
    <w:p>
      <w:pPr>
        <w:pStyle w:val="ListBullet"/>
        <w:spacing w:after="40"/>
      </w:pPr>
      <w:r>
        <w:t>Sales exists across FY2023-24 through FY2026-27.</w:t>
      </w:r>
    </w:p>
    <w:p>
      <w:pPr>
        <w:pStyle w:val="ListBullet"/>
        <w:spacing w:after="40"/>
      </w:pPr>
      <w:r>
        <w:t>The current direct code-to-category probe classified all sales as unmapped.</w:t>
      </w:r>
    </w:p>
    <w:p>
      <w:pPr>
        <w:pStyle w:val="ListBullet"/>
        <w:spacing w:after="40"/>
      </w:pPr>
      <w:r>
        <w:t>The category bridge/join key must be corrected and verified before mix or category YoY is served.</w:t>
      </w:r>
    </w:p>
    <w:p>
      <w:pPr>
        <w:pStyle w:val="Heading2"/>
      </w:pPr>
      <w:r>
        <w:t>A7. SKU concentration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008000"/>
        </w:rPr>
        <w:t>Available now</w:t>
      </w:r>
    </w:p>
    <w:p>
      <w:pPr>
        <w:spacing w:after="60"/>
      </w:pPr>
      <w:r>
        <w:rPr>
          <w:b/>
        </w:rPr>
        <w:t xml:space="preserve">Source: </w:t>
      </w:r>
      <w:r>
        <w:t>sale_line grouped by item code and sales amount; descending rank and cumulative revenue share.</w:t>
      </w:r>
    </w:p>
    <w:p>
      <w:pPr>
        <w:pStyle w:val="ListBullet"/>
        <w:spacing w:after="40"/>
      </w:pPr>
      <w:r>
        <w:t>Current analysis anchor: top 100 SKUs = 45.9% of revenue.</w:t>
      </w:r>
    </w:p>
    <w:p>
      <w:pPr>
        <w:pStyle w:val="ListBullet"/>
        <w:spacing w:after="40"/>
      </w:pPr>
      <w:r>
        <w:t>Current analysis anchor: 560 codes reach 80% of revenue.</w:t>
      </w:r>
    </w:p>
    <w:p>
      <w:pPr>
        <w:pStyle w:val="ListBullet"/>
        <w:spacing w:after="40"/>
      </w:pPr>
      <w:r>
        <w:t>Recompute for the selected FY/period rather than hardcoding anchors.</w:t>
      </w:r>
    </w:p>
    <w:p>
      <w:pPr>
        <w:pStyle w:val="Heading2"/>
      </w:pPr>
      <w:r>
        <w:t>A8. Company coverage roll-up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substantial work</w:t>
      </w:r>
    </w:p>
    <w:p>
      <w:pPr>
        <w:spacing w:after="60"/>
      </w:pPr>
      <w:r>
        <w:rPr>
          <w:b/>
        </w:rPr>
        <w:t xml:space="preserve">Source: </w:t>
      </w:r>
      <w:r>
        <w:t>Member working sheets for visited/not visited/business; prior/current activity and win-back logic for dormant; salesperson classification for new parties; canonical roster for population.</w:t>
      </w:r>
    </w:p>
    <w:p>
      <w:pPr>
        <w:pStyle w:val="ListBullet"/>
        <w:spacing w:after="40"/>
      </w:pPr>
      <w:r>
        <w:t>Components exist for total, visited, not visited, visited-no-business, business parties, new parties, dormant count, and dormant value.</w:t>
      </w:r>
    </w:p>
    <w:p>
      <w:pPr>
        <w:pStyle w:val="ListBullet"/>
        <w:spacing w:after="40"/>
      </w:pPr>
      <w:r>
        <w:t>No verified company-wide consolidated payload exists.</w:t>
      </w:r>
    </w:p>
    <w:p>
      <w:pPr>
        <w:pStyle w:val="ListBullet"/>
        <w:spacing w:after="40"/>
      </w:pPr>
      <w:r>
        <w:t>Failed or unmapped member sheets must produce unavailable states, not zeroes.</w:t>
      </w:r>
    </w:p>
    <w:p>
      <w:pPr>
        <w:pStyle w:val="Heading2"/>
      </w:pPr>
      <w:r>
        <w:t>A9. Weighted realisation/discount off MRP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Available with work; prompt basis not reproducible</w:t>
      </w:r>
    </w:p>
    <w:p>
      <w:pPr>
        <w:spacing w:after="60"/>
      </w:pPr>
      <w:r>
        <w:rPr>
          <w:b/>
        </w:rPr>
        <w:t xml:space="preserve">Source: </w:t>
      </w:r>
      <w:r>
        <w:t>Current reproducible calculation uses secondary_sku_line: 1 − SUM(net_amount) ÷ SUM(gross_amount).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FY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Weighted discount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FY2023-24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46.42%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FY2024-25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47.89%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FY2025-26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49.61%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FY2026-27 loaded period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45.61%</w:t>
            </w:r>
          </w:p>
        </w:tc>
      </w:tr>
    </w:tbl>
    <w:p>
      <w:pPr>
        <w:spacing w:after="40"/>
      </w:pPr>
    </w:p>
    <w:p>
      <w:pPr>
        <w:spacing w:after="80"/>
        <w:ind w:left="216"/>
      </w:pPr>
      <w:r>
        <w:rPr>
          <w:i/>
          <w:color w:val="595959"/>
        </w:rPr>
        <w:t>These figures do not reproduce company 61.8%, Sanitaryware 56.2%, or water tanks 70.6%. Raw discount_pct is unsafe because values exceed 100%. Reconcile the MRP basis, denominator, missing-MRP treatment, credit notes, and category mapping before Block 7.</w:t>
      </w:r>
    </w:p>
    <w:p>
      <w:pPr>
        <w:pStyle w:val="Heading2"/>
      </w:pPr>
      <w:r>
        <w:t>A10. State-level sales and order-booking growth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Sales available now; order booking requires work</w:t>
      </w:r>
    </w:p>
    <w:p>
      <w:pPr>
        <w:spacing w:after="60"/>
      </w:pPr>
      <w:r>
        <w:rPr>
          <w:b/>
        </w:rPr>
        <w:t xml:space="preserve">Source: </w:t>
      </w:r>
      <w:r>
        <w:t>Sales from sale_line using existing like-period state aggregation. Order-booking authority remains unresolved between secondary booking NET and primary Order Book sheets.</w:t>
      </w:r>
    </w:p>
    <w:p>
      <w:pPr>
        <w:pStyle w:val="ListBullet"/>
        <w:spacing w:after="40"/>
      </w:pPr>
      <w:r>
        <w:t>State sales already provides prior, current, difference, and growth percentage under comparable-month rules.</w:t>
      </w:r>
    </w:p>
    <w:p>
      <w:pPr>
        <w:pStyle w:val="ListBullet"/>
        <w:spacing w:after="40"/>
      </w:pPr>
      <w:r>
        <w:t>Order booking needs a new state × month × FY comparable-period result after the source basis is selected.</w:t>
      </w:r>
    </w:p>
    <w:p>
      <w:pPr>
        <w:pStyle w:val="Heading1"/>
      </w:pPr>
      <w:r>
        <w:t>Section B — Design comments</w:t>
      </w:r>
    </w:p>
    <w:p>
      <w:pPr>
        <w:pStyle w:val="Heading2"/>
      </w:pPr>
      <w:r>
        <w:t>Block 1 — Headline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Mostly cheap, but not fully ready.</w:t>
      </w:r>
    </w:p>
    <w:p>
      <w:pPr>
        <w:pStyle w:val="ListBullet"/>
        <w:spacing w:after="40"/>
      </w:pPr>
      <w:r>
        <w:t>Sales YTD is cheap.</w:t>
      </w:r>
    </w:p>
    <w:p>
      <w:pPr>
        <w:pStyle w:val="ListBullet"/>
        <w:spacing w:after="40"/>
      </w:pPr>
      <w:r>
        <w:t>Order booking is cheap after choosing the authoritative source.</w:t>
      </w:r>
    </w:p>
    <w:p>
      <w:pPr>
        <w:pStyle w:val="ListBullet"/>
        <w:spacing w:after="40"/>
      </w:pPr>
      <w:r>
        <w:t>Achievement is cheap and already has numerator/denominator semantics.</w:t>
      </w:r>
    </w:p>
    <w:p>
      <w:pPr>
        <w:pStyle w:val="ListBullet"/>
        <w:spacing w:after="40"/>
      </w:pPr>
      <w:r>
        <w:t>Gross margin can only state “available through June” with a PTMT caveat.</w:t>
      </w:r>
    </w:p>
    <w:p>
      <w:pPr>
        <w:pStyle w:val="ListBullet"/>
        <w:spacing w:after="40"/>
      </w:pPr>
      <w:r>
        <w:t>Every card must show figure, comparison, numerator, denominator, source, coverage-through date, and availability state.</w:t>
      </w:r>
    </w:p>
    <w:p>
      <w:pPr>
        <w:pStyle w:val="Heading2"/>
      </w:pPr>
      <w:r>
        <w:t>Block 2 — The trend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008000"/>
        </w:rPr>
        <w:t>Highest value; moderate work; data exists.</w:t>
      </w:r>
    </w:p>
    <w:p>
      <w:pPr>
        <w:pStyle w:val="ListBullet"/>
        <w:spacing w:after="40"/>
      </w:pPr>
      <w:r>
        <w:t>Keep this as the dominant visual.</w:t>
      </w:r>
    </w:p>
    <w:p>
      <w:pPr>
        <w:pStyle w:val="ListBullet"/>
        <w:spacing w:after="40"/>
      </w:pPr>
      <w:r>
        <w:t>Show TY sales, LY sales, and a clearly named order-booking leading line.</w:t>
      </w:r>
    </w:p>
    <w:p>
      <w:pPr>
        <w:pStyle w:val="ListBullet"/>
        <w:spacing w:after="40"/>
      </w:pPr>
      <w:r>
        <w:t>Leave future months blank and visually separate the provisional current month.</w:t>
      </w:r>
    </w:p>
    <w:p>
      <w:pPr>
        <w:pStyle w:val="ListBullet"/>
        <w:spacing w:after="40"/>
      </w:pPr>
      <w:r>
        <w:t>Generate narrative only from closed comparable months.</w:t>
      </w:r>
    </w:p>
    <w:p>
      <w:pPr>
        <w:pStyle w:val="ListBullet"/>
        <w:spacing w:after="40"/>
      </w:pPr>
      <w:r>
        <w:t>Current verified narrative: “April and May were 7.4% behind last year; June through August ran 15.2% ahead.”</w:t>
      </w:r>
    </w:p>
    <w:p>
      <w:pPr>
        <w:pStyle w:val="Heading2"/>
      </w:pPr>
      <w:r>
        <w:t>Block 3 — Where growth is coming from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Mixed readiness.</w:t>
      </w:r>
    </w:p>
    <w:p>
      <w:pPr>
        <w:pStyle w:val="ListBullet"/>
        <w:spacing w:after="40"/>
      </w:pPr>
      <w:r>
        <w:t>By state head requires moderate work.</w:t>
      </w:r>
    </w:p>
    <w:p>
      <w:pPr>
        <w:pStyle w:val="ListBullet"/>
        <w:spacing w:after="40"/>
      </w:pPr>
      <w:r>
        <w:t>State sales is largely available.</w:t>
      </w:r>
    </w:p>
    <w:p>
      <w:pPr>
        <w:pStyle w:val="ListBullet"/>
        <w:spacing w:after="40"/>
      </w:pPr>
      <w:r>
        <w:t>State order booking requires comparable-period aggregation.</w:t>
      </w:r>
    </w:p>
    <w:p>
      <w:pPr>
        <w:pStyle w:val="ListBullet"/>
        <w:spacing w:after="40"/>
      </w:pPr>
      <w:r>
        <w:t>Six-master category growth is blocked by the category bridge.</w:t>
      </w:r>
    </w:p>
    <w:p>
      <w:pPr>
        <w:pStyle w:val="ListBullet"/>
        <w:spacing w:after="40"/>
      </w:pPr>
      <w:r>
        <w:t>Sort by signed contribution to net company growth and handle zero/negative company growth explicitly.</w:t>
      </w:r>
    </w:p>
    <w:p>
      <w:pPr>
        <w:pStyle w:val="Heading2"/>
      </w:pPr>
      <w:r>
        <w:t>Block 4 — Margin and mix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00000"/>
        </w:rPr>
        <w:t>Not ready as a management result.</w:t>
      </w:r>
    </w:p>
    <w:p>
      <w:pPr>
        <w:pStyle w:val="ListBullet"/>
        <w:spacing w:after="40"/>
      </w:pPr>
      <w:r>
        <w:t>Repair the category bridge.</w:t>
      </w:r>
    </w:p>
    <w:p>
      <w:pPr>
        <w:pStyle w:val="ListBullet"/>
        <w:spacing w:after="40"/>
      </w:pPr>
      <w:r>
        <w:t>Resolve PTMT BOM treatment.</w:t>
      </w:r>
    </w:p>
    <w:p>
      <w:pPr>
        <w:pStyle w:val="ListBullet"/>
        <w:spacing w:after="40"/>
      </w:pPr>
      <w:r>
        <w:t>When ready: x-axis revenue share, y-axis weighted contribution margin, bubble size revenue, and an explicit coverage-through date.</w:t>
      </w:r>
    </w:p>
    <w:p>
      <w:pPr>
        <w:pStyle w:val="Heading2"/>
      </w:pPr>
      <w:r>
        <w:t>Block 5 — Cost and productivity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Substantial work.</w:t>
      </w:r>
    </w:p>
    <w:p>
      <w:pPr>
        <w:pStyle w:val="ListBullet"/>
        <w:spacing w:after="40"/>
      </w:pPr>
      <w:r>
        <w:t>Use exactly one cost ratio: YTD CTC + YTD T.A. divided by sales received.</w:t>
      </w:r>
    </w:p>
    <w:p>
      <w:pPr>
        <w:pStyle w:val="ListBullet"/>
        <w:spacing w:after="40"/>
      </w:pPr>
      <w:r>
        <w:t>Missing cost components remain unavailable.</w:t>
      </w:r>
    </w:p>
    <w:p>
      <w:pPr>
        <w:pStyle w:val="ListBullet"/>
        <w:spacing w:after="40"/>
      </w:pPr>
      <w:r>
        <w:t>Company and head reference values must use identical population and period.</w:t>
      </w:r>
    </w:p>
    <w:p>
      <w:pPr>
        <w:pStyle w:val="ListBullet"/>
        <w:spacing w:after="40"/>
      </w:pPr>
      <w:r>
        <w:t>Define cost per order using canonical order count, not booking value.</w:t>
      </w:r>
    </w:p>
    <w:p>
      <w:pPr>
        <w:pStyle w:val="Heading2"/>
      </w:pPr>
      <w:r>
        <w:t>Block 6 — Concentration and risk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008000"/>
        </w:rPr>
        <w:t>Split readiness.</w:t>
      </w:r>
    </w:p>
    <w:p>
      <w:pPr>
        <w:pStyle w:val="ListBullet"/>
        <w:spacing w:after="40"/>
      </w:pPr>
      <w:r>
        <w:t>Pareto curve and top-ten SKUs are ready.</w:t>
      </w:r>
    </w:p>
    <w:p>
      <w:pPr>
        <w:pStyle w:val="ListBullet"/>
        <w:spacing w:after="40"/>
      </w:pPr>
      <w:r>
        <w:t>Missing-MRP risk requires a verified MRP join.</w:t>
      </w:r>
    </w:p>
    <w:p>
      <w:pPr>
        <w:pStyle w:val="ListBullet"/>
        <w:spacing w:after="40"/>
      </w:pPr>
      <w:r>
        <w:t>Discontinued-selling risk needs authority-status joins.</w:t>
      </w:r>
    </w:p>
    <w:p>
      <w:pPr>
        <w:pStyle w:val="ListBullet"/>
        <w:spacing w:after="40"/>
      </w:pPr>
      <w:r>
        <w:t>Dormant value depends on the company coverage roll-up.</w:t>
      </w:r>
    </w:p>
    <w:p>
      <w:pPr>
        <w:pStyle w:val="ListBullet"/>
        <w:spacing w:after="40"/>
      </w:pPr>
      <w:r>
        <w:t>Ship concentration independently rather than waiting for every risk join.</w:t>
      </w:r>
    </w:p>
    <w:p>
      <w:pPr>
        <w:pStyle w:val="Heading2"/>
      </w:pPr>
      <w:r>
        <w:t>Block 7 — Realisation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00000"/>
        </w:rPr>
        <w:t>Do not build until the basis conflict is resolved.</w:t>
      </w:r>
    </w:p>
    <w:p>
      <w:pPr>
        <w:pStyle w:val="ListBullet"/>
        <w:spacing w:after="40"/>
      </w:pPr>
      <w:r>
        <w:t>Reconcile 61.8% with the reproducible 45.61% calculation.</w:t>
      </w:r>
    </w:p>
    <w:p>
      <w:pPr>
        <w:pStyle w:val="ListBullet"/>
        <w:spacing w:after="40"/>
      </w:pPr>
      <w:r>
        <w:t>Agree authoritative MRP price, gross denominator, missing-MRP treatment, credit notes, YoY period, and six-master mapping.</w:t>
      </w:r>
    </w:p>
    <w:p>
      <w:pPr>
        <w:pStyle w:val="Heading2"/>
      </w:pPr>
      <w:r>
        <w:t>Block 8 — Coverage roll-up</w:t>
      </w:r>
    </w:p>
    <w:p>
      <w:pPr>
        <w:spacing w:after="60"/>
      </w:pPr>
      <w:r>
        <w:rPr>
          <w:b/>
        </w:rPr>
        <w:t xml:space="preserve">Status: </w:t>
      </w:r>
      <w:r>
        <w:rPr>
          <w:b/>
          <w:color w:val="C65911"/>
        </w:rPr>
        <w:t>Substantial work, conceptually sound.</w:t>
      </w:r>
    </w:p>
    <w:p>
      <w:pPr>
        <w:pStyle w:val="ListBullet"/>
        <w:spacing w:after="40"/>
      </w:pPr>
      <w:r>
        <w:t>Keep it company-level and link to Sales Deep Dive.</w:t>
      </w:r>
    </w:p>
    <w:p>
      <w:pPr>
        <w:pStyle w:val="ListBullet"/>
        <w:spacing w:after="40"/>
      </w:pPr>
      <w:r>
        <w:t>Show successful sheet coverage, failed/unmapped members, source timestamp, and comparable prior value.</w:t>
      </w:r>
    </w:p>
    <w:p>
      <w:pPr>
        <w:pStyle w:val="ListBullet"/>
        <w:spacing w:after="40"/>
      </w:pPr>
      <w:r>
        <w:t>Do not recreate retailer lists on Overview.</w:t>
      </w:r>
    </w:p>
    <w:p>
      <w:pPr>
        <w:pStyle w:val="Heading1"/>
      </w:pPr>
      <w:r>
        <w:t>Recommended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7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C1a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 headline, achievement, monthly LY/TY sales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Ready after payload design.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C1b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Order-booking headline and trend overlay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Select booking authority; reconcile +14.0% vs +15.8%.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Growth attribution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State/head first; booking/category after their bases are ready.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C3a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SKU concentration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Can ship independently.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C3b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Cost and productivity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Verify company/head cost completeness.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C4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Realisation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Reconcile MRP and discount definition.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Margin and mix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Fix category bridge and PTMT BOM basis.</w:t>
            </w:r>
          </w:p>
        </w:tc>
      </w:tr>
      <w:tr>
        <w:tc>
          <w:tcPr>
            <w:tcW w:type="dxa" w:w="1008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C6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Coverage roll-up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6"/>
              </w:rPr>
              <w:t>Build completeness-aware company aggregation.</w:t>
            </w:r>
          </w:p>
        </w:tc>
      </w:tr>
    </w:tbl>
    <w:p>
      <w:pPr>
        <w:spacing w:after="40"/>
      </w:pPr>
    </w:p>
    <w:p>
      <w:pPr>
        <w:pStyle w:val="Heading1"/>
      </w:pPr>
      <w:r>
        <w:t>Decisions required before building</w:t>
      </w:r>
    </w:p>
    <w:p>
      <w:pPr>
        <w:pStyle w:val="ListBullet"/>
        <w:spacing w:after="40"/>
      </w:pPr>
      <w:r>
        <w:t>Choose the authoritative order-booking series: secondary_sku_line NET or primary Order Book sheets.</w:t>
      </w:r>
    </w:p>
    <w:p>
      <w:pPr>
        <w:pStyle w:val="ListBullet"/>
        <w:spacing w:after="40"/>
      </w:pPr>
      <w:r>
        <w:t>Reconcile the +14.0% prompt figure with the verified +15.8% secondary Apr–Jul result.</w:t>
      </w:r>
    </w:p>
    <w:p>
      <w:pPr>
        <w:pStyle w:val="ListBullet"/>
        <w:spacing w:after="40"/>
      </w:pPr>
      <w:r>
        <w:t>Repair and verify the six-master category bridge.</w:t>
      </w:r>
    </w:p>
    <w:p>
      <w:pPr>
        <w:pStyle w:val="ListBullet"/>
        <w:spacing w:after="40"/>
      </w:pPr>
      <w:r>
        <w:t>Resolve PTMT January–April BOM treatment.</w:t>
      </w:r>
    </w:p>
    <w:p>
      <w:pPr>
        <w:pStyle w:val="ListBullet"/>
        <w:spacing w:after="40"/>
      </w:pPr>
      <w:r>
        <w:t>Choose the authoritative MRP-backed realisation formula and explain why it differs from 1 − NET/GROSS.</w:t>
      </w:r>
    </w:p>
    <w:p>
      <w:pPr>
        <w:pStyle w:val="ListBullet"/>
        <w:spacing w:after="40"/>
      </w:pPr>
      <w:r>
        <w:t>Define the completeness threshold for company/head cost and coverage roll-ups.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Prayag Sales Intelligence · Prompt 82 read-only assessment · 13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