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Prompt O3 (final) - label every card with its measure, source and population</w:t>
      </w:r>
    </w:p>
    <w:p>
      <w:pPr>
        <w:spacing w:after="150"/>
      </w:pPr>
      <w:r>
        <w:rPr>
          <w:i/>
          <w:iCs/>
          <w:color w:val="555555"/>
        </w:rPr>
        <w:t xml:space="preserve">Supersedes both the original O3 and the earlier rewrite. Ready to send - the Channel Partners question is now resolved.</w:t>
      </w:r>
    </w:p>
    <w:p>
      <w:pPr>
        <w:pStyle w:val="Heading1"/>
        <w:spacing w:after="100" w:before="240"/>
      </w:pPr>
      <w:r>
        <w:rPr>
          <w:b/>
          <w:bCs/>
        </w:rPr>
        <w:t xml:space="preserve">What changed since the rewrite</w:t>
      </w:r>
    </w:p>
    <w:p>
      <w:pPr>
        <w:spacing w:after="100"/>
      </w:pPr>
      <w:r>
        <w:t xml:space="preserve">The rewritten O3 left Channel Partners marked 'under review' pending O1-H item 5. That item reported, so the card can now be labelled properly. Two things it established:</w:t>
      </w:r>
    </w:p>
    <w:p>
      <w:pPr>
        <w:spacing w:after="40"/>
        <w:ind w:left="360"/>
      </w:pPr>
      <w:r>
        <w:t xml:space="preserve">- Column K 'Total Dealer 26-27' is a RETAIL OUTLET count, not a direct-dealer count. Adding it to distributors was never coherent. Channel Partners should be distributors alone - 269.</w:t>
      </w:r>
    </w:p>
    <w:p>
      <w:pPr>
        <w:spacing w:after="40"/>
        <w:ind w:left="360"/>
      </w:pPr>
      <w:r>
        <w:t xml:space="preserve">- The 11,338 is a raw SUM of per-member retailer counts and is NOT deduplicated. If two members cover the same retailer it is counted twice, so it is an upper bound on unique coverage, not a headcount.</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This matters for the label. Showing 'Secondary Retail Reach: 11,338' without saying it is a sum of per-member coverage would imply 11,338 unique retailers, which is not established. The true figure is somewhere at or below 11,338 against a registered universe of 18,117.</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There is a real business figure hiding here. At least 6,779 registered retailers - 37.4 percent of the network - have no secondary coverage at all, and because 11,338 is not deduplicated the true uncovered count is higher. That belongs on the page or in the Distributor Deep Dive rather than buried in a card investigation.</w:t>
      </w:r>
    </w:p>
    <w:p>
      <w:pPr>
        <w:pStyle w:val="Heading1"/>
        <w:spacing w:after="100" w:before="240"/>
      </w:pPr>
      <w:r>
        <w:rPr>
          <w:b/>
          <w:bCs/>
        </w:rPr>
        <w:t xml:space="preserve">The final source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7%"/>
            <w:tcMar>
              <w:top w:type="dxa" w:w="50"/>
              <w:left w:type="dxa" w:w="80"/>
              <w:bottom w:type="dxa" w:w="50"/>
              <w:right w:type="dxa" w:w="80"/>
            </w:tcMar>
          </w:tcPr>
          <w:p>
            <w:r>
              <w:rPr>
                <w:b/>
                <w:bCs/>
                <w:sz w:val="16"/>
                <w:szCs w:val="16"/>
              </w:rPr>
              <w:t xml:space="preserve">Card</w:t>
            </w:r>
          </w:p>
        </w:tc>
        <w:tc>
          <w:tcPr>
            <w:tcW w:type="pct" w:w="17%"/>
            <w:tcMar>
              <w:top w:type="dxa" w:w="50"/>
              <w:left w:type="dxa" w:w="80"/>
              <w:bottom w:type="dxa" w:w="50"/>
              <w:right w:type="dxa" w:w="80"/>
            </w:tcMar>
          </w:tcPr>
          <w:p>
            <w:r>
              <w:rPr>
                <w:b/>
                <w:bCs/>
                <w:sz w:val="16"/>
                <w:szCs w:val="16"/>
              </w:rPr>
              <w:t xml:space="preserve">Measure</w:t>
            </w:r>
          </w:p>
        </w:tc>
        <w:tc>
          <w:tcPr>
            <w:tcW w:type="pct" w:w="42%"/>
            <w:tcMar>
              <w:top w:type="dxa" w:w="50"/>
              <w:left w:type="dxa" w:w="80"/>
              <w:bottom w:type="dxa" w:w="50"/>
              <w:right w:type="dxa" w:w="80"/>
            </w:tcMar>
          </w:tcPr>
          <w:p>
            <w:r>
              <w:rPr>
                <w:b/>
                <w:bCs/>
                <w:sz w:val="16"/>
                <w:szCs w:val="16"/>
              </w:rPr>
              <w:t xml:space="preserve">Source of the live figure</w:t>
            </w:r>
          </w:p>
        </w:tc>
        <w:tc>
          <w:tcPr>
            <w:tcW w:type="pct" w:w="24%"/>
            <w:tcMar>
              <w:top w:type="dxa" w:w="50"/>
              <w:left w:type="dxa" w:w="80"/>
              <w:bottom w:type="dxa" w:w="50"/>
              <w:right w:type="dxa" w:w="80"/>
            </w:tcMar>
          </w:tcPr>
          <w:p>
            <w:r>
              <w:rPr>
                <w:b/>
                <w:bCs/>
                <w:sz w:val="16"/>
                <w:szCs w:val="16"/>
              </w:rPr>
              <w:t xml:space="preserve">Population</w:t>
            </w:r>
          </w:p>
        </w:tc>
      </w:tr>
      <w:tr>
        <w:trPr>
          <w:tblHeader w:val="false"/>
        </w:trPr>
        <w:tc>
          <w:tcPr>
            <w:tcW w:type="pct" w:w="17%"/>
            <w:tcMar>
              <w:top w:type="dxa" w:w="50"/>
              <w:left w:type="dxa" w:w="80"/>
              <w:bottom w:type="dxa" w:w="50"/>
              <w:right w:type="dxa" w:w="80"/>
            </w:tcMar>
          </w:tcPr>
          <w:p>
            <w:r>
              <w:rPr>
                <w:b w:val="false"/>
                <w:bCs w:val="false"/>
                <w:sz w:val="16"/>
                <w:szCs w:val="16"/>
              </w:rPr>
              <w:t xml:space="preserve">FY24-25 Total Sales</w:t>
            </w:r>
          </w:p>
        </w:tc>
        <w:tc>
          <w:tcPr>
            <w:tcW w:type="pct" w:w="17%"/>
            <w:tcMar>
              <w:top w:type="dxa" w:w="50"/>
              <w:left w:type="dxa" w:w="80"/>
              <w:bottom w:type="dxa" w:w="50"/>
              <w:right w:type="dxa" w:w="80"/>
            </w:tcMar>
          </w:tcPr>
          <w:p>
            <w:r>
              <w:rPr>
                <w:b w:val="false"/>
                <w:bCs w:val="false"/>
                <w:sz w:val="16"/>
                <w:szCs w:val="16"/>
              </w:rPr>
              <w:t xml:space="preserve">Primary sale / dispatch</w:t>
            </w:r>
          </w:p>
        </w:tc>
        <w:tc>
          <w:tcPr>
            <w:tcW w:type="pct" w:w="42%"/>
            <w:tcMar>
              <w:top w:type="dxa" w:w="50"/>
              <w:left w:type="dxa" w:w="80"/>
              <w:bottom w:type="dxa" w:w="50"/>
              <w:right w:type="dxa" w:w="80"/>
            </w:tcMar>
          </w:tcPr>
          <w:p>
            <w:r>
              <w:rPr>
                <w:b w:val="false"/>
                <w:bCs w:val="false"/>
                <w:sz w:val="16"/>
                <w:szCs w:val="16"/>
              </w:rPr>
              <w:t xml:space="preserve">sale_line register, Rs 341.14 Cr. SALE tab Rs 341.73 Cr is FALLBACK only</w:t>
            </w:r>
          </w:p>
        </w:tc>
        <w:tc>
          <w:tcPr>
            <w:tcW w:type="pct" w:w="24%"/>
            <w:tcMar>
              <w:top w:type="dxa" w:w="50"/>
              <w:left w:type="dxa" w:w="80"/>
              <w:bottom w:type="dxa" w:w="50"/>
              <w:right w:type="dxa" w:w="80"/>
            </w:tcMar>
          </w:tcPr>
          <w:p>
            <w:r>
              <w:rPr>
                <w:b w:val="false"/>
                <w:bCs w:val="false"/>
                <w:sz w:val="16"/>
                <w:szCs w:val="16"/>
              </w:rPr>
              <w:t xml:space="preserve">All channels, includes project and institutional</w:t>
            </w:r>
          </w:p>
        </w:tc>
      </w:tr>
      <w:tr>
        <w:trPr>
          <w:tblHeader w:val="false"/>
        </w:trPr>
        <w:tc>
          <w:tcPr>
            <w:tcW w:type="pct" w:w="17%"/>
            <w:tcMar>
              <w:top w:type="dxa" w:w="50"/>
              <w:left w:type="dxa" w:w="80"/>
              <w:bottom w:type="dxa" w:w="50"/>
              <w:right w:type="dxa" w:w="80"/>
            </w:tcMar>
          </w:tcPr>
          <w:p>
            <w:r>
              <w:rPr>
                <w:b w:val="false"/>
                <w:bCs w:val="false"/>
                <w:sz w:val="16"/>
                <w:szCs w:val="16"/>
              </w:rPr>
              <w:t xml:space="preserve">FY25-26 Total Sales</w:t>
            </w:r>
          </w:p>
        </w:tc>
        <w:tc>
          <w:tcPr>
            <w:tcW w:type="pct" w:w="17%"/>
            <w:tcMar>
              <w:top w:type="dxa" w:w="50"/>
              <w:left w:type="dxa" w:w="80"/>
              <w:bottom w:type="dxa" w:w="50"/>
              <w:right w:type="dxa" w:w="80"/>
            </w:tcMar>
          </w:tcPr>
          <w:p>
            <w:r>
              <w:rPr>
                <w:b w:val="false"/>
                <w:bCs w:val="false"/>
                <w:sz w:val="16"/>
                <w:szCs w:val="16"/>
              </w:rPr>
              <w:t xml:space="preserve">Primary sale / dispatch</w:t>
            </w:r>
          </w:p>
        </w:tc>
        <w:tc>
          <w:tcPr>
            <w:tcW w:type="pct" w:w="42%"/>
            <w:tcMar>
              <w:top w:type="dxa" w:w="50"/>
              <w:left w:type="dxa" w:w="80"/>
              <w:bottom w:type="dxa" w:w="50"/>
              <w:right w:type="dxa" w:w="80"/>
            </w:tcMar>
          </w:tcPr>
          <w:p>
            <w:r>
              <w:rPr>
                <w:b w:val="false"/>
                <w:bCs w:val="false"/>
                <w:sz w:val="16"/>
                <w:szCs w:val="16"/>
              </w:rPr>
              <w:t xml:space="preserve">sale_line via /api/analytics, months[] sum, Rs 359.52 Cr</w:t>
            </w:r>
          </w:p>
        </w:tc>
        <w:tc>
          <w:tcPr>
            <w:tcW w:type="pct" w:w="24%"/>
            <w:tcMar>
              <w:top w:type="dxa" w:w="50"/>
              <w:left w:type="dxa" w:w="80"/>
              <w:bottom w:type="dxa" w:w="50"/>
              <w:right w:type="dxa" w:w="80"/>
            </w:tcMar>
          </w:tcPr>
          <w:p>
            <w:r>
              <w:rPr>
                <w:b w:val="false"/>
                <w:bCs w:val="false"/>
                <w:sz w:val="16"/>
                <w:szCs w:val="16"/>
              </w:rPr>
              <w:t xml:space="preserve">All channels, includes project and institutional</w:t>
            </w:r>
          </w:p>
        </w:tc>
      </w:tr>
      <w:tr>
        <w:trPr>
          <w:tblHeader w:val="false"/>
        </w:trPr>
        <w:tc>
          <w:tcPr>
            <w:tcW w:type="pct" w:w="17%"/>
            <w:tcMar>
              <w:top w:type="dxa" w:w="50"/>
              <w:left w:type="dxa" w:w="80"/>
              <w:bottom w:type="dxa" w:w="50"/>
              <w:right w:type="dxa" w:w="80"/>
            </w:tcMar>
          </w:tcPr>
          <w:p>
            <w:r>
              <w:rPr>
                <w:b w:val="false"/>
                <w:bCs w:val="false"/>
                <w:sz w:val="16"/>
                <w:szCs w:val="16"/>
              </w:rPr>
              <w:t xml:space="preserve">Orders YTD FY26-27</w:t>
            </w:r>
          </w:p>
        </w:tc>
        <w:tc>
          <w:tcPr>
            <w:tcW w:type="pct" w:w="17%"/>
            <w:tcMar>
              <w:top w:type="dxa" w:w="50"/>
              <w:left w:type="dxa" w:w="80"/>
              <w:bottom w:type="dxa" w:w="50"/>
              <w:right w:type="dxa" w:w="80"/>
            </w:tcMar>
          </w:tcPr>
          <w:p>
            <w:r>
              <w:rPr>
                <w:b w:val="false"/>
                <w:bCs w:val="false"/>
                <w:sz w:val="16"/>
                <w:szCs w:val="16"/>
              </w:rPr>
              <w:t xml:space="preserve">Primary ORDER BOOKING</w:t>
            </w:r>
          </w:p>
        </w:tc>
        <w:tc>
          <w:tcPr>
            <w:tcW w:type="pct" w:w="42%"/>
            <w:tcMar>
              <w:top w:type="dxa" w:w="50"/>
              <w:left w:type="dxa" w:w="80"/>
              <w:bottom w:type="dxa" w:w="50"/>
              <w:right w:type="dxa" w:w="80"/>
            </w:tcMar>
          </w:tcPr>
          <w:p>
            <w:r>
              <w:rPr>
                <w:b w:val="false"/>
                <w:bCs w:val="false"/>
                <w:sz w:val="16"/>
                <w:szCs w:val="16"/>
              </w:rPr>
              <w:t xml:space="preserve">Order Book workbook, monthly tabs, column L Taxable Value</w:t>
            </w:r>
          </w:p>
        </w:tc>
        <w:tc>
          <w:tcPr>
            <w:tcW w:type="pct" w:w="24%"/>
            <w:tcMar>
              <w:top w:type="dxa" w:w="50"/>
              <w:left w:type="dxa" w:w="80"/>
              <w:bottom w:type="dxa" w:w="50"/>
              <w:right w:type="dxa" w:w="80"/>
            </w:tcMar>
          </w:tcPr>
          <w:p>
            <w:r>
              <w:rPr>
                <w:b w:val="false"/>
                <w:bCs w:val="false"/>
                <w:sz w:val="16"/>
                <w:szCs w:val="16"/>
              </w:rPr>
              <w:t xml:space="preserve">All channels</w:t>
            </w:r>
          </w:p>
        </w:tc>
      </w:tr>
      <w:tr>
        <w:trPr>
          <w:tblHeader w:val="false"/>
        </w:trPr>
        <w:tc>
          <w:tcPr>
            <w:tcW w:type="pct" w:w="17%"/>
            <w:tcMar>
              <w:top w:type="dxa" w:w="50"/>
              <w:left w:type="dxa" w:w="80"/>
              <w:bottom w:type="dxa" w:w="50"/>
              <w:right w:type="dxa" w:w="80"/>
            </w:tcMar>
          </w:tcPr>
          <w:p>
            <w:r>
              <w:rPr>
                <w:b w:val="false"/>
                <w:bCs w:val="false"/>
                <w:sz w:val="16"/>
                <w:szCs w:val="16"/>
              </w:rPr>
              <w:t xml:space="preserve">Retailers (count)</w:t>
            </w:r>
          </w:p>
        </w:tc>
        <w:tc>
          <w:tcPr>
            <w:tcW w:type="pct" w:w="17%"/>
            <w:tcMar>
              <w:top w:type="dxa" w:w="50"/>
              <w:left w:type="dxa" w:w="80"/>
              <w:bottom w:type="dxa" w:w="50"/>
              <w:right w:type="dxa" w:w="80"/>
            </w:tcMar>
          </w:tcPr>
          <w:p>
            <w:r>
              <w:rPr>
                <w:b w:val="false"/>
                <w:bCs w:val="false"/>
                <w:sz w:val="16"/>
                <w:szCs w:val="16"/>
              </w:rPr>
              <w:t xml:space="preserve">Registered retailer count</w:t>
            </w:r>
          </w:p>
        </w:tc>
        <w:tc>
          <w:tcPr>
            <w:tcW w:type="pct" w:w="42%"/>
            <w:tcMar>
              <w:top w:type="dxa" w:w="50"/>
              <w:left w:type="dxa" w:w="80"/>
              <w:bottom w:type="dxa" w:w="50"/>
              <w:right w:type="dxa" w:w="80"/>
            </w:tcMar>
          </w:tcPr>
          <w:p>
            <w:r>
              <w:rPr>
                <w:b w:val="false"/>
                <w:bCs w:val="false"/>
                <w:sz w:val="16"/>
                <w:szCs w:val="16"/>
              </w:rPr>
              <w:t xml:space="preserve">Retailer-Distributor Data, Retailer tab, RET# rows - 18,117</w:t>
            </w:r>
          </w:p>
        </w:tc>
        <w:tc>
          <w:tcPr>
            <w:tcW w:type="pct" w:w="24%"/>
            <w:tcMar>
              <w:top w:type="dxa" w:w="50"/>
              <w:left w:type="dxa" w:w="80"/>
              <w:bottom w:type="dxa" w:w="50"/>
              <w:right w:type="dxa" w:w="80"/>
            </w:tcMar>
          </w:tcPr>
          <w:p>
            <w:r>
              <w:rPr>
                <w:b w:val="false"/>
                <w:bCs w:val="false"/>
                <w:sz w:val="16"/>
                <w:szCs w:val="16"/>
              </w:rPr>
              <w:t xml:space="preserve">Master roster</w:t>
            </w:r>
          </w:p>
        </w:tc>
      </w:tr>
      <w:tr>
        <w:trPr>
          <w:tblHeader w:val="false"/>
        </w:trPr>
        <w:tc>
          <w:tcPr>
            <w:tcW w:type="pct" w:w="17%"/>
            <w:tcMar>
              <w:top w:type="dxa" w:w="50"/>
              <w:left w:type="dxa" w:w="80"/>
              <w:bottom w:type="dxa" w:w="50"/>
              <w:right w:type="dxa" w:w="80"/>
            </w:tcMar>
          </w:tcPr>
          <w:p>
            <w:r>
              <w:rPr>
                <w:b w:val="false"/>
                <w:bCs w:val="false"/>
                <w:sz w:val="16"/>
                <w:szCs w:val="16"/>
              </w:rPr>
              <w:t xml:space="preserve">Retailers (subtitle)</w:t>
            </w:r>
          </w:p>
        </w:tc>
        <w:tc>
          <w:tcPr>
            <w:tcW w:type="pct" w:w="17%"/>
            <w:tcMar>
              <w:top w:type="dxa" w:w="50"/>
              <w:left w:type="dxa" w:w="80"/>
              <w:bottom w:type="dxa" w:w="50"/>
              <w:right w:type="dxa" w:w="80"/>
            </w:tcMar>
          </w:tcPr>
          <w:p>
            <w:r>
              <w:rPr>
                <w:b w:val="false"/>
                <w:bCs w:val="false"/>
                <w:sz w:val="16"/>
                <w:szCs w:val="16"/>
              </w:rPr>
              <w:t xml:space="preserve">SECONDARY order booking</w:t>
            </w:r>
          </w:p>
        </w:tc>
        <w:tc>
          <w:tcPr>
            <w:tcW w:type="pct" w:w="42%"/>
            <w:tcMar>
              <w:top w:type="dxa" w:w="50"/>
              <w:left w:type="dxa" w:w="80"/>
              <w:bottom w:type="dxa" w:w="50"/>
              <w:right w:type="dxa" w:w="80"/>
            </w:tcMar>
          </w:tcPr>
          <w:p>
            <w:r>
              <w:rPr>
                <w:b w:val="false"/>
                <w:bCs w:val="false"/>
                <w:sz w:val="16"/>
                <w:szCs w:val="16"/>
              </w:rPr>
              <w:t xml:space="preserve">Secondary report column M - Rs 57.37 Cr</w:t>
            </w:r>
          </w:p>
        </w:tc>
        <w:tc>
          <w:tcPr>
            <w:tcW w:type="pct" w:w="24%"/>
            <w:tcMar>
              <w:top w:type="dxa" w:w="50"/>
              <w:left w:type="dxa" w:w="80"/>
              <w:bottom w:type="dxa" w:w="50"/>
              <w:right w:type="dxa" w:w="80"/>
            </w:tcMar>
          </w:tcPr>
          <w:p>
            <w:r>
              <w:rPr>
                <w:b w:val="false"/>
                <w:bCs w:val="false"/>
                <w:sz w:val="16"/>
                <w:szCs w:val="16"/>
              </w:rPr>
              <w:t xml:space="preserve">Excludes project and institutional</w:t>
            </w:r>
          </w:p>
        </w:tc>
      </w:tr>
      <w:tr>
        <w:trPr>
          <w:tblHeader w:val="false"/>
        </w:trPr>
        <w:tc>
          <w:tcPr>
            <w:tcW w:type="pct" w:w="17%"/>
            <w:tcMar>
              <w:top w:type="dxa" w:w="50"/>
              <w:left w:type="dxa" w:w="80"/>
              <w:bottom w:type="dxa" w:w="50"/>
              <w:right w:type="dxa" w:w="80"/>
            </w:tcMar>
          </w:tcPr>
          <w:p>
            <w:r>
              <w:rPr>
                <w:b w:val="false"/>
                <w:bCs w:val="false"/>
                <w:sz w:val="16"/>
                <w:szCs w:val="16"/>
              </w:rPr>
              <w:t xml:space="preserve">Channel Partners</w:t>
            </w:r>
          </w:p>
        </w:tc>
        <w:tc>
          <w:tcPr>
            <w:tcW w:type="pct" w:w="17%"/>
            <w:tcMar>
              <w:top w:type="dxa" w:w="50"/>
              <w:left w:type="dxa" w:w="80"/>
              <w:bottom w:type="dxa" w:w="50"/>
              <w:right w:type="dxa" w:w="80"/>
            </w:tcMar>
          </w:tcPr>
          <w:p>
            <w:r>
              <w:rPr>
                <w:b w:val="false"/>
                <w:bCs w:val="false"/>
                <w:sz w:val="16"/>
                <w:szCs w:val="16"/>
              </w:rPr>
              <w:t xml:space="preserve">Distributors only</w:t>
            </w:r>
          </w:p>
        </w:tc>
        <w:tc>
          <w:tcPr>
            <w:tcW w:type="pct" w:w="42%"/>
            <w:tcMar>
              <w:top w:type="dxa" w:w="50"/>
              <w:left w:type="dxa" w:w="80"/>
              <w:bottom w:type="dxa" w:w="50"/>
              <w:right w:type="dxa" w:w="80"/>
            </w:tcMar>
          </w:tcPr>
          <w:p>
            <w:r>
              <w:rPr>
                <w:b w:val="false"/>
                <w:bCs w:val="false"/>
                <w:sz w:val="16"/>
                <w:szCs w:val="16"/>
              </w:rPr>
              <w:t xml:space="preserve">Retailer-Distributor Data, DIST# rows - 269</w:t>
            </w:r>
          </w:p>
        </w:tc>
        <w:tc>
          <w:tcPr>
            <w:tcW w:type="pct" w:w="24%"/>
            <w:tcMar>
              <w:top w:type="dxa" w:w="50"/>
              <w:left w:type="dxa" w:w="80"/>
              <w:bottom w:type="dxa" w:w="50"/>
              <w:right w:type="dxa" w:w="80"/>
            </w:tcMar>
          </w:tcPr>
          <w:p>
            <w:r>
              <w:rPr>
                <w:b w:val="false"/>
                <w:bCs w:val="false"/>
                <w:sz w:val="16"/>
                <w:szCs w:val="16"/>
              </w:rPr>
              <w:t xml:space="preserve">Direct commercial partners</w:t>
            </w:r>
          </w:p>
        </w:tc>
      </w:tr>
      <w:tr>
        <w:trPr>
          <w:tblHeader w:val="false"/>
        </w:trPr>
        <w:tc>
          <w:tcPr>
            <w:tcW w:type="pct" w:w="17%"/>
            <w:tcMar>
              <w:top w:type="dxa" w:w="50"/>
              <w:left w:type="dxa" w:w="80"/>
              <w:bottom w:type="dxa" w:w="50"/>
              <w:right w:type="dxa" w:w="80"/>
            </w:tcMar>
          </w:tcPr>
          <w:p>
            <w:r>
              <w:rPr>
                <w:b w:val="false"/>
                <w:bCs w:val="false"/>
                <w:sz w:val="16"/>
                <w:szCs w:val="16"/>
              </w:rPr>
              <w:t xml:space="preserve">Secondary Retail Reach (new)</w:t>
            </w:r>
          </w:p>
        </w:tc>
        <w:tc>
          <w:tcPr>
            <w:tcW w:type="pct" w:w="17%"/>
            <w:tcMar>
              <w:top w:type="dxa" w:w="50"/>
              <w:left w:type="dxa" w:w="80"/>
              <w:bottom w:type="dxa" w:w="50"/>
              <w:right w:type="dxa" w:w="80"/>
            </w:tcMar>
          </w:tcPr>
          <w:p>
            <w:r>
              <w:rPr>
                <w:b w:val="false"/>
                <w:bCs w:val="false"/>
                <w:sz w:val="16"/>
                <w:szCs w:val="16"/>
              </w:rPr>
              <w:t xml:space="preserve">Sum of per-member coverage</w:t>
            </w:r>
          </w:p>
        </w:tc>
        <w:tc>
          <w:tcPr>
            <w:tcW w:type="pct" w:w="42%"/>
            <w:tcMar>
              <w:top w:type="dxa" w:w="50"/>
              <w:left w:type="dxa" w:w="80"/>
              <w:bottom w:type="dxa" w:w="50"/>
              <w:right w:type="dxa" w:w="80"/>
            </w:tcMar>
          </w:tcPr>
          <w:p>
            <w:r>
              <w:rPr>
                <w:b w:val="false"/>
                <w:bCs w:val="false"/>
                <w:sz w:val="16"/>
                <w:szCs w:val="16"/>
              </w:rPr>
              <w:t xml:space="preserve">Secondary report column K - 11,338, NOT deduplicated</w:t>
            </w:r>
          </w:p>
        </w:tc>
        <w:tc>
          <w:tcPr>
            <w:tcW w:type="pct" w:w="24%"/>
            <w:tcMar>
              <w:top w:type="dxa" w:w="50"/>
              <w:left w:type="dxa" w:w="80"/>
              <w:bottom w:type="dxa" w:w="50"/>
              <w:right w:type="dxa" w:w="80"/>
            </w:tcMar>
          </w:tcPr>
          <w:p>
            <w:r>
              <w:rPr>
                <w:b w:val="false"/>
                <w:bCs w:val="false"/>
                <w:sz w:val="16"/>
                <w:szCs w:val="16"/>
              </w:rPr>
              <w:t xml:space="preserve">Upper bound, not a headcount</w:t>
            </w:r>
          </w:p>
        </w:tc>
      </w:tr>
    </w:tbl>
    <w:p>
      <w:pPr>
        <w:pStyle w:val="Heading1"/>
        <w:spacing w:after="100" w:before="240"/>
      </w:pPr>
      <w:r>
        <w:rPr>
          <w:b/>
          <w:bCs/>
        </w:rPr>
        <w:t xml:space="preserve">Prompt O3 (final)</w:t>
      </w:r>
    </w:p>
    <w:p>
      <w:pPr>
        <w:spacing w:after="20" w:before="100"/>
      </w:pPr>
      <w:r>
        <w:rPr>
          <w:b/>
          <w:bCs/>
          <w:i/>
          <w:iCs/>
          <w:color w:val="444444"/>
        </w:rPr>
        <w:t xml:space="preserve">PROMPT - O3 final (copy the box below)</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6"/>
          <w:szCs w:val="16"/>
        </w:rPr>
        <w:t xml:space="preserve">Prayag app - Overview page, correction O3. Same global rules as every earlier phase.</w:t>
      </w:r>
      <w:r>
        <w:rPr>
          <w:rFonts w:ascii="Courier New" w:cs="Courier New" w:eastAsia="Courier New" w:hAnsi="Courier New"/>
          <w:sz w:val="16"/>
          <w:szCs w:val="16"/>
        </w:rPr>
        <w:br/>
        <w:t xml:space="preserve">THIS PROMPT CHANGES LABELS AND PRESENTATION ONLY. No figure may change as a result of</w:t>
      </w:r>
      <w:r>
        <w:rPr>
          <w:rFonts w:ascii="Courier New" w:cs="Courier New" w:eastAsia="Courier New" w:hAnsi="Courier New"/>
          <w:sz w:val="16"/>
          <w:szCs w:val="16"/>
        </w:rPr>
        <w:br/>
        <w:t xml:space="preserve">it, with one exception stated in item 2.</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This application carries four distinct measures - primary order booking, primary sale</w:t>
      </w:r>
      <w:r>
        <w:rPr>
          <w:rFonts w:ascii="Courier New" w:cs="Courier New" w:eastAsia="Courier New" w:hAnsi="Courier New"/>
          <w:sz w:val="16"/>
          <w:szCs w:val="16"/>
        </w:rPr>
        <w:br/>
        <w:t xml:space="preserve">and dispatch, secondary order booking, and sales received - and the Overview labels</w:t>
      </w:r>
      <w:r>
        <w:rPr>
          <w:rFonts w:ascii="Courier New" w:cs="Courier New" w:eastAsia="Courier New" w:hAnsi="Courier New"/>
          <w:sz w:val="16"/>
          <w:szCs w:val="16"/>
        </w:rPr>
        <w:br/>
        <w:t xml:space="preserve">none of them. 'Total Sales' and 'Orders' could each mean two different things.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1. LABEL EVERY KPI CARD with its MEASURE, its SOURCE and its POPULATION, in small text</w:t>
      </w:r>
      <w:r>
        <w:rPr>
          <w:rFonts w:ascii="Courier New" w:cs="Courier New" w:eastAsia="Courier New" w:hAnsi="Courier New"/>
          <w:sz w:val="16"/>
          <w:szCs w:val="16"/>
        </w:rPr>
        <w:br/>
        <w:t xml:space="preserve">   beneath the figure. Use the sources below - several changed during the O1 and O2</w:t>
      </w:r>
      <w:r>
        <w:rPr>
          <w:rFonts w:ascii="Courier New" w:cs="Courier New" w:eastAsia="Courier New" w:hAnsi="Courier New"/>
          <w:sz w:val="16"/>
          <w:szCs w:val="16"/>
        </w:rPr>
        <w:br/>
        <w:t xml:space="preserve">   investigation, so do not rely on any earlier note or comment: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FY24-25 Total Sales</w:t>
      </w:r>
      <w:r>
        <w:rPr>
          <w:rFonts w:ascii="Courier New" w:cs="Courier New" w:eastAsia="Courier New" w:hAnsi="Courier New"/>
          <w:sz w:val="16"/>
          <w:szCs w:val="16"/>
        </w:rPr>
        <w:br/>
        <w:t xml:space="preserve">     measure    Primary sale (dispatch)</w:t>
      </w:r>
      <w:r>
        <w:rPr>
          <w:rFonts w:ascii="Courier New" w:cs="Courier New" w:eastAsia="Courier New" w:hAnsi="Courier New"/>
          <w:sz w:val="16"/>
          <w:szCs w:val="16"/>
        </w:rPr>
        <w:br/>
        <w:t xml:space="preserve">     source     sale_line register - Rs 341.14 Cr. The Item-wise SALE tab figure of</w:t>
      </w:r>
      <w:r>
        <w:rPr>
          <w:rFonts w:ascii="Courier New" w:cs="Courier New" w:eastAsia="Courier New" w:hAnsi="Courier New"/>
          <w:sz w:val="16"/>
          <w:szCs w:val="16"/>
        </w:rPr>
        <w:br/>
        <w:t xml:space="preserve">                Rs 341.73 Cr is a FALLBACK only, used when the register fails its</w:t>
      </w:r>
      <w:r>
        <w:rPr>
          <w:rFonts w:ascii="Courier New" w:cs="Courier New" w:eastAsia="Courier New" w:hAnsi="Courier New"/>
          <w:sz w:val="16"/>
          <w:szCs w:val="16"/>
        </w:rPr>
        <w:br/>
        <w:t xml:space="preserve">                completeness guard. Do not name the SALE tab as the live source.</w:t>
      </w:r>
      <w:r>
        <w:rPr>
          <w:rFonts w:ascii="Courier New" w:cs="Courier New" w:eastAsia="Courier New" w:hAnsi="Courier New"/>
          <w:sz w:val="16"/>
          <w:szCs w:val="16"/>
        </w:rPr>
        <w:br/>
        <w:t xml:space="preserve">     population All channels, including project and institutional business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FY25-26 Total Sales</w:t>
      </w:r>
      <w:r>
        <w:rPr>
          <w:rFonts w:ascii="Courier New" w:cs="Courier New" w:eastAsia="Courier New" w:hAnsi="Courier New"/>
          <w:sz w:val="16"/>
          <w:szCs w:val="16"/>
        </w:rPr>
        <w:br/>
        <w:t xml:space="preserve">     measure    Primary sale (dispatch)</w:t>
      </w:r>
      <w:r>
        <w:rPr>
          <w:rFonts w:ascii="Courier New" w:cs="Courier New" w:eastAsia="Courier New" w:hAnsi="Courier New"/>
          <w:sz w:val="16"/>
          <w:szCs w:val="16"/>
        </w:rPr>
        <w:br/>
        <w:t xml:space="preserve">     source     sale_line via GET /api/analytics, months[] sum - Rs 359.52 Cr</w:t>
      </w:r>
      <w:r>
        <w:rPr>
          <w:rFonts w:ascii="Courier New" w:cs="Courier New" w:eastAsia="Courier New" w:hAnsi="Courier New"/>
          <w:sz w:val="16"/>
          <w:szCs w:val="16"/>
        </w:rPr>
        <w:br/>
        <w:t xml:space="preserve">     population All channels, including project and institutional business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Orders YTD (FY26-27)</w:t>
      </w:r>
      <w:r>
        <w:rPr>
          <w:rFonts w:ascii="Courier New" w:cs="Courier New" w:eastAsia="Courier New" w:hAnsi="Courier New"/>
          <w:sz w:val="16"/>
          <w:szCs w:val="16"/>
        </w:rPr>
        <w:br/>
        <w:t xml:space="preserve">     measure    Primary ORDER BOOKING - not sale. Booking and dispatch are different</w:t>
      </w:r>
      <w:r>
        <w:rPr>
          <w:rFonts w:ascii="Courier New" w:cs="Courier New" w:eastAsia="Courier New" w:hAnsi="Courier New"/>
          <w:sz w:val="16"/>
          <w:szCs w:val="16"/>
        </w:rPr>
        <w:br/>
        <w:t xml:space="preserve">                measures and this card must not read as sales.</w:t>
      </w:r>
      <w:r>
        <w:rPr>
          <w:rFonts w:ascii="Courier New" w:cs="Courier New" w:eastAsia="Courier New" w:hAnsi="Courier New"/>
          <w:sz w:val="16"/>
          <w:szCs w:val="16"/>
        </w:rPr>
        <w:br/>
        <w:t xml:space="preserve">     source     Order Book workbook, monthly tabs, column L Taxable Value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Retailers - count</w:t>
      </w:r>
      <w:r>
        <w:rPr>
          <w:rFonts w:ascii="Courier New" w:cs="Courier New" w:eastAsia="Courier New" w:hAnsi="Courier New"/>
          <w:sz w:val="16"/>
          <w:szCs w:val="16"/>
        </w:rPr>
        <w:br/>
        <w:t xml:space="preserve">     measure    Registered retailer count - 18,117</w:t>
      </w:r>
      <w:r>
        <w:rPr>
          <w:rFonts w:ascii="Courier New" w:cs="Courier New" w:eastAsia="Courier New" w:hAnsi="Courier New"/>
          <w:sz w:val="16"/>
          <w:szCs w:val="16"/>
        </w:rPr>
        <w:br/>
        <w:t xml:space="preserve">     source     Retailer-Distributor Data workbook, Retailer tab, rows starting RET#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Retailers - subtitle</w:t>
      </w:r>
      <w:r>
        <w:rPr>
          <w:rFonts w:ascii="Courier New" w:cs="Courier New" w:eastAsia="Courier New" w:hAnsi="Courier New"/>
          <w:sz w:val="16"/>
          <w:szCs w:val="16"/>
        </w:rPr>
        <w:br/>
        <w:t xml:space="preserve">     measure    SECONDARY order booking summed across members - NOT shop-level sales</w:t>
      </w:r>
      <w:r>
        <w:rPr>
          <w:rFonts w:ascii="Courier New" w:cs="Courier New" w:eastAsia="Courier New" w:hAnsi="Courier New"/>
          <w:sz w:val="16"/>
          <w:szCs w:val="16"/>
        </w:rPr>
        <w:br/>
        <w:t xml:space="preserve">     source     State Head Dashboard, SECONDARY ORDER BOOKING REPORT, column M</w:t>
      </w:r>
      <w:r>
        <w:rPr>
          <w:rFonts w:ascii="Courier New" w:cs="Courier New" w:eastAsia="Courier New" w:hAnsi="Courier New"/>
          <w:sz w:val="16"/>
          <w:szCs w:val="16"/>
        </w:rPr>
        <w:br/>
        <w:t xml:space="preserve">     population Excludes project and institutional business</w:t>
      </w:r>
      <w:r>
        <w:rPr>
          <w:rFonts w:ascii="Courier New" w:cs="Courier New" w:eastAsia="Courier New" w:hAnsi="Courier New"/>
          <w:sz w:val="16"/>
          <w:szCs w:val="16"/>
        </w:rPr>
        <w:br/>
        <w:t xml:space="preserve">     Relabel this. Reading 'Sales' beneath a retailer count implies shop-level revenue,</w:t>
      </w:r>
      <w:r>
        <w:rPr>
          <w:rFonts w:ascii="Courier New" w:cs="Courier New" w:eastAsia="Courier New" w:hAnsi="Courier New"/>
          <w:sz w:val="16"/>
          <w:szCs w:val="16"/>
        </w:rPr>
        <w:br/>
        <w:t xml:space="preserve">     which it is not.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2. FIX AND LABEL THE CHANNEL PARTNERS CARD - the one figure change permitted here.</w:t>
      </w:r>
      <w:r>
        <w:rPr>
          <w:rFonts w:ascii="Courier New" w:cs="Courier New" w:eastAsia="Courier New" w:hAnsi="Courier New"/>
          <w:sz w:val="16"/>
          <w:szCs w:val="16"/>
        </w:rPr>
        <w:br/>
        <w:t xml:space="preserve">   Column K is a RETAIL OUTLET count, not a dealer count: Prasun's reads 73 against</w:t>
      </w:r>
      <w:r>
        <w:rPr>
          <w:rFonts w:ascii="Courier New" w:cs="Courier New" w:eastAsia="Courier New" w:hAnsi="Courier New"/>
          <w:sz w:val="16"/>
          <w:szCs w:val="16"/>
        </w:rPr>
        <w:br/>
        <w:t xml:space="preserve">   his 73 retailers, of which only 12 are direct dealers. Adding it to distributors is</w:t>
      </w:r>
      <w:r>
        <w:rPr>
          <w:rFonts w:ascii="Courier New" w:cs="Courier New" w:eastAsia="Courier New" w:hAnsi="Courier New"/>
          <w:sz w:val="16"/>
          <w:szCs w:val="16"/>
        </w:rPr>
        <w:br/>
        <w:t xml:space="preserve">   not a channel partner count.</w:t>
      </w:r>
      <w:r>
        <w:rPr>
          <w:rFonts w:ascii="Courier New" w:cs="Courier New" w:eastAsia="Courier New" w:hAnsi="Courier New"/>
          <w:sz w:val="16"/>
          <w:szCs w:val="16"/>
        </w:rPr>
        <w:br/>
        <w:t xml:space="preserve">     Channel Partners = DISTRIBUTORS ONLY = 269</w:t>
      </w:r>
      <w:r>
        <w:rPr>
          <w:rFonts w:ascii="Courier New" w:cs="Courier New" w:eastAsia="Courier New" w:hAnsi="Courier New"/>
          <w:sz w:val="16"/>
          <w:szCs w:val="16"/>
        </w:rPr>
        <w:br/>
        <w:t xml:space="preserve">     source: Retailer-Distributor Data workbook, Distributor tab, rows starting DIST#</w:t>
      </w:r>
      <w:r>
        <w:rPr>
          <w:rFonts w:ascii="Courier New" w:cs="Courier New" w:eastAsia="Courier New" w:hAnsi="Courier New"/>
          <w:sz w:val="16"/>
          <w:szCs w:val="16"/>
        </w:rPr>
        <w:br/>
        <w:t xml:space="preserve">     label:  direct commercial partners who buy from Prayag and carry credit and</w:t>
      </w:r>
      <w:r>
        <w:rPr>
          <w:rFonts w:ascii="Courier New" w:cs="Courier New" w:eastAsia="Courier New" w:hAnsi="Courier New"/>
          <w:sz w:val="16"/>
          <w:szCs w:val="16"/>
        </w:rPr>
        <w:br/>
        <w:t xml:space="preserve">             distribution risk</w:t>
      </w:r>
      <w:r>
        <w:rPr>
          <w:rFonts w:ascii="Courier New" w:cs="Courier New" w:eastAsia="Courier New" w:hAnsi="Courier New"/>
          <w:sz w:val="16"/>
          <w:szCs w:val="16"/>
        </w:rPr>
        <w:br/>
        <w:t xml:space="preserve">   Move column K's 11,338 out to its own metric, labelled:</w:t>
      </w:r>
      <w:r>
        <w:rPr>
          <w:rFonts w:ascii="Courier New" w:cs="Courier New" w:eastAsia="Courier New" w:hAnsi="Courier New"/>
          <w:sz w:val="16"/>
          <w:szCs w:val="16"/>
        </w:rPr>
        <w:br/>
        <w:t xml:space="preserve">     'Secondary Retail Reach - 11,338 (sum of per-member coverage, not deduplicated)'</w:t>
      </w:r>
      <w:r>
        <w:rPr>
          <w:rFonts w:ascii="Courier New" w:cs="Courier New" w:eastAsia="Courier New" w:hAnsi="Courier New"/>
          <w:sz w:val="16"/>
          <w:szCs w:val="16"/>
        </w:rPr>
        <w:br/>
        <w:t xml:space="preserve">   The not-deduplicated caveat is REQUIRED. If two members cover the same retailer it</w:t>
      </w:r>
      <w:r>
        <w:rPr>
          <w:rFonts w:ascii="Courier New" w:cs="Courier New" w:eastAsia="Courier New" w:hAnsi="Courier New"/>
          <w:sz w:val="16"/>
          <w:szCs w:val="16"/>
        </w:rPr>
        <w:br/>
        <w:t xml:space="preserve">   is counted twice, so 11,338 is an upper bound on unique coverage.</w:t>
      </w:r>
      <w:r>
        <w:rPr>
          <w:rFonts w:ascii="Courier New" w:cs="Courier New" w:eastAsia="Courier New" w:hAnsi="Courier New"/>
          <w:sz w:val="16"/>
          <w:szCs w:val="16"/>
        </w:rPr>
        <w:br/>
        <w:t xml:space="preserve">   Do NOT add Channel Partners and Secondary Retail Reach together anywhere - they are</w:t>
      </w:r>
      <w:r>
        <w:rPr>
          <w:rFonts w:ascii="Courier New" w:cs="Courier New" w:eastAsia="Courier New" w:hAnsi="Courier New"/>
          <w:sz w:val="16"/>
          <w:szCs w:val="16"/>
        </w:rPr>
        <w:br/>
        <w:t xml:space="preserve">   different populations and the sum is meaningless.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3. SHOW THE DATA CUTOFF, not only the sync timestamp. 'Last synced 12:32 pm on Jul 24'</w:t>
      </w:r>
      <w:r>
        <w:rPr>
          <w:rFonts w:ascii="Courier New" w:cs="Courier New" w:eastAsia="Courier New" w:hAnsi="Courier New"/>
          <w:sz w:val="16"/>
          <w:szCs w:val="16"/>
        </w:rPr>
        <w:br/>
        <w:t xml:space="preserve">   beside data that ends 30 June reads as current when it is not. Show both, labelled</w:t>
      </w:r>
      <w:r>
        <w:rPr>
          <w:rFonts w:ascii="Courier New" w:cs="Courier New" w:eastAsia="Courier New" w:hAnsi="Courier New"/>
          <w:sz w:val="16"/>
          <w:szCs w:val="16"/>
        </w:rPr>
        <w:br/>
        <w:t xml:space="preserve">   distinctly - sync time is when the fetch ran, cutoff is how far the data goes. Use</w:t>
      </w:r>
      <w:r>
        <w:rPr>
          <w:rFonts w:ascii="Courier New" w:cs="Courier New" w:eastAsia="Courier New" w:hAnsi="Courier New"/>
          <w:sz w:val="16"/>
          <w:szCs w:val="16"/>
        </w:rPr>
        <w:br/>
        <w:t xml:space="preserve">   the cutoff logic already established for the Deep Dive pages.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4. STATE THE BASIS DIFFERENCE somewhere visible: the Total Sales and Orders cards are</w:t>
      </w:r>
      <w:r>
        <w:rPr>
          <w:rFonts w:ascii="Courier New" w:cs="Courier New" w:eastAsia="Courier New" w:hAnsi="Courier New"/>
          <w:sz w:val="16"/>
          <w:szCs w:val="16"/>
        </w:rPr>
        <w:br/>
        <w:t xml:space="preserve">   on a PRIMARY basis and include project and institutional business, while the Deep</w:t>
      </w:r>
      <w:r>
        <w:rPr>
          <w:rFonts w:ascii="Courier New" w:cs="Courier New" w:eastAsia="Courier New" w:hAnsi="Courier New"/>
          <w:sz w:val="16"/>
          <w:szCs w:val="16"/>
        </w:rPr>
        <w:br/>
        <w:t xml:space="preserve">   Dive pages are on a SECONDARY basis and exclude it. The two will never reconcile,</w:t>
      </w:r>
      <w:r>
        <w:rPr>
          <w:rFonts w:ascii="Courier New" w:cs="Courier New" w:eastAsia="Courier New" w:hAnsi="Courier New"/>
          <w:sz w:val="16"/>
          <w:szCs w:val="16"/>
        </w:rPr>
        <w:br/>
        <w:t xml:space="preserve">   and a reader who does not know that will assume one of them is wrong.</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5. RECORD EACH ANCHOR'S SOURCE in verify_anchors.json comment fields. The two are</w:t>
      </w:r>
      <w:r>
        <w:rPr>
          <w:rFonts w:ascii="Courier New" w:cs="Courier New" w:eastAsia="Courier New" w:hAnsi="Courier New"/>
          <w:sz w:val="16"/>
          <w:szCs w:val="16"/>
        </w:rPr>
        <w:br/>
        <w:t xml:space="preserve">   derived differently and are not comparable:</w:t>
      </w:r>
      <w:r>
        <w:rPr>
          <w:rFonts w:ascii="Courier New" w:cs="Courier New" w:eastAsia="Courier New" w:hAnsi="Courier New"/>
          <w:sz w:val="16"/>
          <w:szCs w:val="16"/>
        </w:rPr>
        <w:br/>
        <w:t xml:space="preserve">     FY2024-25 anchor Rs 3,411,400,000 - from the REGISTER, rounded to nearest lakh</w:t>
      </w:r>
      <w:r>
        <w:rPr>
          <w:rFonts w:ascii="Courier New" w:cs="Courier New" w:eastAsia="Courier New" w:hAnsi="Courier New"/>
          <w:sz w:val="16"/>
          <w:szCs w:val="16"/>
        </w:rPr>
        <w:br/>
        <w:t xml:space="preserve">     FY2025-26 anchor Rs 3,611,400,000 - from the STATE HEAD SALE SHEET, rounded</w:t>
      </w:r>
      <w:r>
        <w:rPr>
          <w:rFonts w:ascii="Courier New" w:cs="Courier New" w:eastAsia="Courier New" w:hAnsi="Courier New"/>
          <w:sz w:val="16"/>
          <w:szCs w:val="16"/>
        </w:rPr>
        <w:br/>
        <w:t xml:space="preserve">   For FY2025-26 also record the snapshot date, 2026-07-12, and note that its source</w:t>
      </w:r>
      <w:r>
        <w:rPr>
          <w:rFonts w:ascii="Courier New" w:cs="Courier New" w:eastAsia="Courier New" w:hAnsi="Courier New"/>
          <w:sz w:val="16"/>
          <w:szCs w:val="16"/>
        </w:rPr>
        <w:br/>
        <w:t xml:space="preserve">   sheet was edited afterwards on 2026-07-23, so it should be re-snapshotted once that</w:t>
      </w:r>
      <w:r>
        <w:rPr>
          <w:rFonts w:ascii="Courier New" w:cs="Courier New" w:eastAsia="Courier New" w:hAnsi="Courier New"/>
          <w:sz w:val="16"/>
          <w:szCs w:val="16"/>
        </w:rPr>
        <w:br/>
        <w:t xml:space="preserve">   sheet is confirmed frozen.</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Acceptance - prove each with the rendered result:</w:t>
      </w:r>
      <w:r>
        <w:rPr>
          <w:rFonts w:ascii="Courier New" w:cs="Courier New" w:eastAsia="Courier New" w:hAnsi="Courier New"/>
          <w:sz w:val="16"/>
          <w:szCs w:val="16"/>
        </w:rPr>
        <w:br/>
        <w:t xml:space="preserve">  every card names its measure, its source and its population</w:t>
      </w:r>
      <w:r>
        <w:rPr>
          <w:rFonts w:ascii="Courier New" w:cs="Courier New" w:eastAsia="Courier New" w:hAnsi="Courier New"/>
          <w:sz w:val="16"/>
          <w:szCs w:val="16"/>
        </w:rPr>
        <w:br/>
        <w:t xml:space="preserve">  the FY24-25 card names the REGISTER as its source, not the SALE tab</w:t>
      </w:r>
      <w:r>
        <w:rPr>
          <w:rFonts w:ascii="Courier New" w:cs="Courier New" w:eastAsia="Courier New" w:hAnsi="Courier New"/>
          <w:sz w:val="16"/>
          <w:szCs w:val="16"/>
        </w:rPr>
        <w:br/>
        <w:t xml:space="preserve">  the Orders card reads as order booking, not sales</w:t>
      </w:r>
      <w:r>
        <w:rPr>
          <w:rFonts w:ascii="Courier New" w:cs="Courier New" w:eastAsia="Courier New" w:hAnsi="Courier New"/>
          <w:sz w:val="16"/>
          <w:szCs w:val="16"/>
        </w:rPr>
        <w:br/>
        <w:t xml:space="preserve">  the Retailers subtitle no longer reads as shop-level sales</w:t>
      </w:r>
      <w:r>
        <w:rPr>
          <w:rFonts w:ascii="Courier New" w:cs="Courier New" w:eastAsia="Courier New" w:hAnsi="Courier New"/>
          <w:sz w:val="16"/>
          <w:szCs w:val="16"/>
        </w:rPr>
        <w:br/>
        <w:t xml:space="preserve">  Channel Partners reads 269 and is labelled distributors only</w:t>
      </w:r>
      <w:r>
        <w:rPr>
          <w:rFonts w:ascii="Courier New" w:cs="Courier New" w:eastAsia="Courier New" w:hAnsi="Courier New"/>
          <w:sz w:val="16"/>
          <w:szCs w:val="16"/>
        </w:rPr>
        <w:br/>
        <w:t xml:space="preserve">  Secondary Retail Reach reads 11,338 and carries the not-deduplicated caveat</w:t>
      </w:r>
      <w:r>
        <w:rPr>
          <w:rFonts w:ascii="Courier New" w:cs="Courier New" w:eastAsia="Courier New" w:hAnsi="Courier New"/>
          <w:sz w:val="16"/>
          <w:szCs w:val="16"/>
        </w:rPr>
        <w:br/>
        <w:t xml:space="preserve">  the two are never summed anywhere in the UI or the API response</w:t>
      </w:r>
      <w:r>
        <w:rPr>
          <w:rFonts w:ascii="Courier New" w:cs="Courier New" w:eastAsia="Courier New" w:hAnsi="Courier New"/>
          <w:sz w:val="16"/>
          <w:szCs w:val="16"/>
        </w:rPr>
        <w:br/>
        <w:t xml:space="preserve">  the page shows the data cutoff distinctly from the sync time</w:t>
      </w:r>
      <w:r>
        <w:rPr>
          <w:rFonts w:ascii="Courier New" w:cs="Courier New" w:eastAsia="Courier New" w:hAnsi="Courier New"/>
          <w:sz w:val="16"/>
          <w:szCs w:val="16"/>
        </w:rPr>
        <w:br/>
        <w:t xml:space="preserve">  the primary-versus-secondary basis difference is stated on the page</w:t>
      </w:r>
      <w:r>
        <w:rPr>
          <w:rFonts w:ascii="Courier New" w:cs="Courier New" w:eastAsia="Courier New" w:hAnsi="Courier New"/>
          <w:sz w:val="16"/>
          <w:szCs w:val="16"/>
        </w:rPr>
        <w:br/>
        <w:t xml:space="preserve">  both anchors carry their source, and FY2025-26 carries its snapshot date</w:t>
      </w:r>
      <w:r>
        <w:rPr>
          <w:rFonts w:ascii="Courier New" w:cs="Courier New" w:eastAsia="Courier New" w:hAnsi="Courier New"/>
          <w:sz w:val="16"/>
          <w:szCs w:val="16"/>
        </w:rPr>
        <w:br/>
        <w:t xml:space="preserve">  NO OTHER FIGURE CHANGES - FY24-25 stays Rs 341.14 Cr, FY25-26 Rs 359.52 Cr, the</w:t>
      </w:r>
      <w:r>
        <w:rPr>
          <w:rFonts w:ascii="Courier New" w:cs="Courier New" w:eastAsia="Courier New" w:hAnsi="Courier New"/>
          <w:sz w:val="16"/>
          <w:szCs w:val="16"/>
        </w:rPr>
        <w:br/>
        <w:t xml:space="preserve">    Retailers subtitle stays Rs 57.37 Cr, and the O1 and O2 acceptance numbers are</w:t>
      </w:r>
      <w:r>
        <w:rPr>
          <w:rFonts w:ascii="Courier New" w:cs="Courier New" w:eastAsia="Courier New" w:hAnsi="Courier New"/>
          <w:sz w:val="16"/>
          <w:szCs w:val="16"/>
        </w:rPr>
        <w:br/>
        <w:t xml:space="preserve">    all untouched</w:t>
      </w:r>
    </w:p>
    <w:p>
      <w:pPr>
        <w:pStyle w:val="Heading1"/>
        <w:spacing w:after="100" w:before="240"/>
      </w:pPr>
      <w:r>
        <w:rPr>
          <w:b/>
          <w:bCs/>
        </w:rPr>
        <w:t xml:space="preserve">What to watch</w:t>
      </w:r>
    </w:p>
    <w:p>
      <w:pPr>
        <w:spacing w:after="40"/>
        <w:ind w:left="360"/>
      </w:pPr>
      <w:r>
        <w:t xml:space="preserve">- Channel Partners drops from 1,525 to 269 on screen. That is the correct figure, but it is a large visible change - make sure Secondary Retail Reach appears at the same time so nothing looks lost.</w:t>
      </w:r>
    </w:p>
    <w:p>
      <w:pPr>
        <w:spacing w:after="40"/>
        <w:ind w:left="360"/>
      </w:pPr>
      <w:r>
        <w:t xml:space="preserve">- The population line is the half that gets skipped. A label reading only 'Primary sale' is half the job; population is what lets a reader reconcile the Overview against the Deep Dives.</w:t>
      </w:r>
    </w:p>
    <w:p>
      <w:pPr>
        <w:spacing w:after="40"/>
        <w:ind w:left="360"/>
      </w:pPr>
      <w:r>
        <w:t xml:space="preserve">- Confirm no other figure moved. This is a labelling prompt with one authorised exception; anything else changing means something was touched that should not have been.</w:t>
      </w:r>
    </w:p>
    <w:p>
      <w:pPr>
        <w:spacing w:after="40"/>
        <w:ind w:left="360"/>
      </w:pPr>
      <w:r>
        <w:t xml:space="preserve">- Consider surfacing the coverage gap separately: at least 6,779 registered retailers - 37.4 percent - have no secondary coverage, and the true figure is higher because 11,338 is not deduplicated. It is a stronger finding than any label on this page.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 final</dc:title>
  <dc:creator>Prayag AI Team</dc:creator>
  <cp:lastModifiedBy>Un-named</cp:lastModifiedBy>
  <cp:revision>1</cp:revision>
  <dcterms:created xsi:type="dcterms:W3CDTF">2026-07-24T12:22:47.824Z</dcterms:created>
  <dcterms:modified xsi:type="dcterms:W3CDTF">2026-07-24T12:22:47.837Z</dcterms:modified>
</cp:coreProperties>
</file>

<file path=docProps/custom.xml><?xml version="1.0" encoding="utf-8"?>
<Properties xmlns="http://schemas.openxmlformats.org/officeDocument/2006/custom-properties" xmlns:vt="http://schemas.openxmlformats.org/officeDocument/2006/docPropsVTypes"/>
</file>