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b/>
          <w:color w:val="1E40AF"/>
          <w:sz w:val="56"/>
        </w:rPr>
        <w:t>Prayag India</w:t>
      </w:r>
    </w:p>
    <w:p>
      <w:pPr>
        <w:jc w:val="center"/>
      </w:pPr>
      <w:r>
        <w:rPr>
          <w:color w:val="3B82F6"/>
          <w:sz w:val="36"/>
        </w:rPr>
        <w:t>Sales Intelligence Platform</w:t>
      </w:r>
    </w:p>
    <w:p/>
    <w:p>
      <w:pPr>
        <w:jc w:val="center"/>
      </w:pPr>
      <w:r>
        <w:rPr>
          <w:i/>
          <w:color w:val="64748B"/>
          <w:sz w:val="24"/>
        </w:rPr>
        <w:t>Architecture, Data Models, Business Logic and Key Decisions</w:t>
      </w:r>
    </w:p>
    <w:p/>
    <w:p>
      <w:pPr>
        <w:jc w:val="center"/>
      </w:pPr>
      <w:r>
        <w:rPr>
          <w:color w:val="94A3B8"/>
          <w:sz w:val="20"/>
        </w:rPr>
        <w:t>July 2026  ·  Confidential</w:t>
      </w:r>
    </w:p>
    <w:p/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4873"/>
        <w:gridCol w:w="4873"/>
      </w:tblGrid>
      <w:tr>
        <w:tc>
          <w:tcPr>
            <w:tcW w:type="dxa" w:w="2551"/>
            <w:shd w:val="clear" w:color="auto" w:fill="F8FAFC"/>
          </w:tcPr>
          <w:p>
            <w:r>
              <w:rPr>
                <w:b/>
                <w:color w:val="1E293B"/>
                <w:sz w:val="18"/>
              </w:rPr>
              <w:t>Tech Stack</w:t>
            </w:r>
          </w:p>
        </w:tc>
        <w:tc>
          <w:tcPr>
            <w:tcW w:type="dxa" w:w="7087"/>
            <w:shd w:val="clear" w:color="auto" w:fill="F8FAFC"/>
          </w:tcPr>
          <w:p>
            <w:r>
              <w:rPr>
                <w:b w:val="0"/>
                <w:color w:val="374151"/>
                <w:sz w:val="18"/>
              </w:rPr>
              <w:t>Node.js 24 · TypeScript 5.9 · pnpm Workspaces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r>
              <w:rPr>
                <w:b/>
                <w:color w:val="1E293B"/>
                <w:sz w:val="18"/>
              </w:rPr>
              <w:t>API</w:t>
            </w:r>
          </w:p>
        </w:tc>
        <w:tc>
          <w:tcPr>
            <w:tcW w:type="dxa" w:w="7087"/>
            <w:shd w:val="clear" w:color="auto" w:fill="FFFFFF"/>
          </w:tcPr>
          <w:p>
            <w:r>
              <w:rPr>
                <w:b w:val="0"/>
                <w:color w:val="374151"/>
                <w:sz w:val="18"/>
              </w:rPr>
              <w:t>Express 5 + Zod validation + pino structured logging</w:t>
            </w:r>
          </w:p>
        </w:tc>
      </w:tr>
      <w:tr>
        <w:tc>
          <w:tcPr>
            <w:tcW w:type="dxa" w:w="2551"/>
            <w:shd w:val="clear" w:color="auto" w:fill="F8FAFC"/>
          </w:tcPr>
          <w:p>
            <w:r>
              <w:rPr>
                <w:b/>
                <w:color w:val="1E293B"/>
                <w:sz w:val="18"/>
              </w:rPr>
              <w:t>Database</w:t>
            </w:r>
          </w:p>
        </w:tc>
        <w:tc>
          <w:tcPr>
            <w:tcW w:type="dxa" w:w="7087"/>
            <w:shd w:val="clear" w:color="auto" w:fill="F8FAFC"/>
          </w:tcPr>
          <w:p>
            <w:r>
              <w:rPr>
                <w:b w:val="0"/>
                <w:color w:val="374151"/>
                <w:sz w:val="18"/>
              </w:rPr>
              <w:t>PostgreSQL + Drizzle ORM (18 tables)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r>
              <w:rPr>
                <w:b/>
                <w:color w:val="1E293B"/>
                <w:sz w:val="18"/>
              </w:rPr>
              <w:t>Frontend</w:t>
            </w:r>
          </w:p>
        </w:tc>
        <w:tc>
          <w:tcPr>
            <w:tcW w:type="dxa" w:w="7087"/>
            <w:shd w:val="clear" w:color="auto" w:fill="FFFFFF"/>
          </w:tcPr>
          <w:p>
            <w:r>
              <w:rPr>
                <w:b w:val="0"/>
                <w:color w:val="374151"/>
                <w:sz w:val="18"/>
              </w:rPr>
              <w:t>Vite + React · Mobile-first · Deep-linkable routes</w:t>
            </w:r>
          </w:p>
        </w:tc>
      </w:tr>
      <w:tr>
        <w:tc>
          <w:tcPr>
            <w:tcW w:type="dxa" w:w="2551"/>
            <w:shd w:val="clear" w:color="auto" w:fill="F8FAFC"/>
          </w:tcPr>
          <w:p>
            <w:r>
              <w:rPr>
                <w:b/>
                <w:color w:val="1E293B"/>
                <w:sz w:val="18"/>
              </w:rPr>
              <w:t>Codegen</w:t>
            </w:r>
          </w:p>
        </w:tc>
        <w:tc>
          <w:tcPr>
            <w:tcW w:type="dxa" w:w="7087"/>
            <w:shd w:val="clear" w:color="auto" w:fill="F8FAFC"/>
          </w:tcPr>
          <w:p>
            <w:r>
              <w:rPr>
                <w:b w:val="0"/>
                <w:color w:val="374151"/>
                <w:sz w:val="18"/>
              </w:rPr>
              <w:t>Orval → React-Query hooks + Zod schemas from OpenAPI 3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r>
              <w:rPr>
                <w:b/>
                <w:color w:val="1E293B"/>
                <w:sz w:val="18"/>
              </w:rPr>
              <w:t>Data Sources</w:t>
            </w:r>
          </w:p>
        </w:tc>
        <w:tc>
          <w:tcPr>
            <w:tcW w:type="dxa" w:w="7087"/>
            <w:shd w:val="clear" w:color="auto" w:fill="FFFFFF"/>
          </w:tcPr>
          <w:p>
            <w:r>
              <w:rPr>
                <w:b w:val="0"/>
                <w:color w:val="374151"/>
                <w:sz w:val="18"/>
              </w:rPr>
              <w:t>Google Sheets (read-only) + SAP XLSX uploads + xlsx backfill CLI</w:t>
            </w:r>
          </w:p>
        </w:tc>
      </w:tr>
      <w:tr>
        <w:tc>
          <w:tcPr>
            <w:tcW w:type="dxa" w:w="2551"/>
            <w:shd w:val="clear" w:color="auto" w:fill="F8FAFC"/>
          </w:tcPr>
          <w:p>
            <w:r>
              <w:rPr>
                <w:b/>
                <w:color w:val="1E293B"/>
                <w:sz w:val="18"/>
              </w:rPr>
              <w:t>Storage</w:t>
            </w:r>
          </w:p>
        </w:tc>
        <w:tc>
          <w:tcPr>
            <w:tcW w:type="dxa" w:w="7087"/>
            <w:shd w:val="clear" w:color="auto" w:fill="F8FAFC"/>
          </w:tcPr>
          <w:p>
            <w:r>
              <w:rPr>
                <w:b w:val="0"/>
                <w:color w:val="374151"/>
                <w:sz w:val="18"/>
              </w:rPr>
              <w:t>Replit Object Storage (SAP files) + PostgreSQL (all structured data)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spacing w:before="200" w:after="40"/>
      </w:pPr>
      <w:r>
        <w:rPr>
          <w:b/>
          <w:color w:val="1E40AF"/>
          <w:sz w:val="26"/>
        </w:rPr>
        <w:t>1. System Architecture</w:t>
      </w:r>
    </w:p>
    <w:p>
      <w:pPr>
        <w:spacing w:before="0" w:after="80"/>
      </w:pPr>
      <w:r>
        <w:rPr>
          <w:i/>
          <w:color w:val="64748B"/>
          <w:sz w:val="18"/>
        </w:rPr>
        <w:t>How the layers connect</w:t>
      </w:r>
    </w:p>
    <w:p>
      <w:pPr>
        <w:spacing w:before="60" w:after="60"/>
        <w:pBdr>
          <w:bottom w:val="single" w:sz="4" w:space="1" w:color="1E40AF"/>
        </w:pBdr>
      </w:pPr>
    </w:p>
    <w:p>
      <w:pPr>
        <w:spacing w:before="160" w:after="60"/>
      </w:pPr>
      <w:r>
        <w:rPr>
          <w:b/>
          <w:color w:val="1D4ED8"/>
          <w:sz w:val="22"/>
        </w:rPr>
        <w:t>1.1 Layers</w:t>
      </w:r>
    </w:p>
    <w:p>
      <w:pPr>
        <w:pStyle w:val="ListBullet"/>
        <w:spacing w:after="40"/>
        <w:ind w:left="283"/>
      </w:pPr>
      <w:r>
        <w:rPr>
          <w:b/>
          <w:color w:val="1D4ED8"/>
          <w:sz w:val="19"/>
        </w:rPr>
        <w:t xml:space="preserve">Presentation: </w:t>
      </w:r>
      <w:r>
        <w:rPr>
          <w:color w:val="374151"/>
          <w:sz w:val="19"/>
        </w:rPr>
        <w:t>Vite + React SPA (artifacts/prayag). 8 dashboard tabs, deep-linkable routes (/targets, /reports…). Consumes generated React-Query hooks. Preview path /.</w:t>
      </w:r>
    </w:p>
    <w:p>
      <w:pPr>
        <w:pStyle w:val="ListBullet"/>
        <w:spacing w:after="40"/>
        <w:ind w:left="283"/>
      </w:pPr>
      <w:r>
        <w:rPr>
          <w:b/>
          <w:color w:val="1D4ED8"/>
          <w:sz w:val="19"/>
        </w:rPr>
        <w:t xml:space="preserve">API Server: </w:t>
      </w:r>
      <w:r>
        <w:rPr>
          <w:color w:val="374151"/>
          <w:sz w:val="19"/>
        </w:rPr>
        <w:t>Express 5 (artifacts/api-server). Proxied at /api. Pino logging — req.log in handlers, logger singleton elsewhere. NEVER console.log.</w:t>
      </w:r>
    </w:p>
    <w:p>
      <w:pPr>
        <w:pStyle w:val="ListBullet"/>
        <w:spacing w:after="40"/>
        <w:ind w:left="283"/>
      </w:pPr>
      <w:r>
        <w:rPr>
          <w:b/>
          <w:color w:val="1D4ED8"/>
          <w:sz w:val="19"/>
        </w:rPr>
        <w:t xml:space="preserve">Shared Libraries: </w:t>
      </w:r>
      <w:r>
        <w:rPr>
          <w:color w:val="374151"/>
          <w:sz w:val="19"/>
        </w:rPr>
        <w:t>lib/api-spec (OpenAPI 3 → Orval codegen), lib/db (Drizzle ORM schema), lib/api-zod (generated Zod types). Composite libs; emit declarations.</w:t>
      </w:r>
    </w:p>
    <w:p>
      <w:pPr>
        <w:pStyle w:val="ListBullet"/>
        <w:spacing w:after="40"/>
        <w:ind w:left="283"/>
      </w:pPr>
      <w:r>
        <w:rPr>
          <w:b/>
          <w:color w:val="1D4ED8"/>
          <w:sz w:val="19"/>
        </w:rPr>
        <w:t xml:space="preserve">Database: </w:t>
      </w:r>
      <w:r>
        <w:rPr>
          <w:color w:val="374151"/>
          <w:sz w:val="19"/>
        </w:rPr>
        <w:t>PostgreSQL (18 tables). Drizzle ORM queries. Dev migrations: pnpm --filter @workspace/db run push.</w:t>
      </w:r>
    </w:p>
    <w:p>
      <w:pPr>
        <w:pStyle w:val="ListBullet"/>
        <w:spacing w:after="40"/>
        <w:ind w:left="283"/>
      </w:pPr>
      <w:r>
        <w:rPr>
          <w:b/>
          <w:color w:val="1D4ED8"/>
          <w:sz w:val="19"/>
        </w:rPr>
        <w:t xml:space="preserve">External Data: </w:t>
      </w:r>
      <w:r>
        <w:rPr>
          <w:color w:val="374151"/>
          <w:sz w:val="19"/>
        </w:rPr>
        <w:t>Google Drive (read-only XLSX export) · Replit Object Storage (SAP files) · SAP monthly XLSX uploads.</w:t>
      </w:r>
    </w:p>
    <w:p>
      <w:pPr>
        <w:spacing w:before="160" w:after="60"/>
      </w:pPr>
      <w:r>
        <w:rPr>
          <w:b/>
          <w:color w:val="1D4ED8"/>
          <w:sz w:val="22"/>
        </w:rPr>
        <w:t>1.2 Startup Sequence</w:t>
      </w:r>
    </w:p>
    <w:p>
      <w:pPr>
        <w:pStyle w:val="ListBullet"/>
        <w:spacing w:after="40"/>
        <w:ind w:left="283"/>
      </w:pPr>
      <w:r>
        <w:rPr>
          <w:b/>
          <w:color w:val="1D4ED8"/>
          <w:sz w:val="19"/>
        </w:rPr>
        <w:t xml:space="preserve">Step 1 — Seed: </w:t>
      </w:r>
      <w:r>
        <w:rPr>
          <w:color w:val="374151"/>
          <w:sz w:val="19"/>
        </w:rPr>
        <w:t>Server starts → ensureSeeded() runs synchronously. If dashboard_snapshots is empty, writes bundled seed (data/prayag_data.json). First paint is instant — seed always available.</w:t>
      </w:r>
    </w:p>
    <w:p>
      <w:pPr>
        <w:pStyle w:val="ListBullet"/>
        <w:spacing w:after="40"/>
        <w:ind w:left="283"/>
      </w:pPr>
      <w:r>
        <w:rPr>
          <w:b/>
          <w:color w:val="1D4ED8"/>
          <w:sz w:val="19"/>
        </w:rPr>
        <w:t xml:space="preserve">Step 2 — Live sync: </w:t>
      </w:r>
      <w:r>
        <w:rPr>
          <w:color w:val="374151"/>
          <w:sz w:val="19"/>
        </w:rPr>
        <w:t>Background live sync kicks off immediately after seed. Fetches from Google Sheets, writes new snapshot row. UI upgrades from seed → live data without reload.</w:t>
      </w:r>
    </w:p>
    <w:p>
      <w:pPr>
        <w:pStyle w:val="ListBullet"/>
        <w:spacing w:after="40"/>
        <w:ind w:left="283"/>
      </w:pPr>
      <w:r>
        <w:rPr>
          <w:b/>
          <w:color w:val="1D4ED8"/>
          <w:sz w:val="19"/>
        </w:rPr>
        <w:t xml:space="preserve">Scheduled sync: </w:t>
      </w:r>
      <w:r>
        <w:rPr>
          <w:color w:val="374151"/>
          <w:sz w:val="19"/>
        </w:rPr>
        <w:t>DASHBOARD_SYNC_INTERVAL_MINUTES env var (default 60). Set to 0 to disable. Runs POST /dashboard/refresh logic on schedule.</w:t>
      </w:r>
    </w:p>
    <w:p>
      <w:pPr>
        <w:spacing w:before="160" w:after="60"/>
      </w:pPr>
      <w:r>
        <w:rPr>
          <w:b/>
          <w:color w:val="1D4ED8"/>
          <w:sz w:val="22"/>
        </w:rPr>
        <w:t>1.3 Routing and Proxy</w:t>
      </w:r>
    </w:p>
    <w:p>
      <w:pPr>
        <w:pStyle w:val="ListBullet"/>
        <w:spacing w:after="40"/>
        <w:ind w:left="283"/>
      </w:pPr>
      <w:r>
        <w:rPr>
          <w:b/>
          <w:color w:val="1D4ED8"/>
          <w:sz w:val="19"/>
        </w:rPr>
        <w:t xml:space="preserve">Path routing: </w:t>
      </w:r>
      <w:r>
        <w:rPr>
          <w:color w:val="374151"/>
          <w:sz w:val="19"/>
        </w:rPr>
        <w:t>Global reverse proxy routes by path (artifact.toml). API server at /api, frontend at /. Always curl via localhost:80 — never directly to port 5000.</w:t>
      </w:r>
    </w:p>
    <w:p>
      <w:pPr>
        <w:pStyle w:val="ListBullet"/>
        <w:spacing w:after="40"/>
        <w:ind w:left="283"/>
      </w:pPr>
      <w:r>
        <w:rPr>
          <w:b/>
          <w:color w:val="1D4ED8"/>
          <w:sz w:val="19"/>
        </w:rPr>
        <w:t xml:space="preserve">Critical gotcha: </w:t>
      </w:r>
      <w:r>
        <w:rPr>
          <w:color w:val="374151"/>
          <w:sz w:val="19"/>
        </w:rPr>
        <w:t>Config JSON must be statically imported (esbuild bundles it). Never read with fs.readFileSync(process.cwd()) — cwd differs in production → ENOENT 500.</w:t>
      </w:r>
    </w:p>
    <w:p>
      <w:r>
        <w:br w:type="page"/>
      </w:r>
    </w:p>
    <w:p>
      <w:pPr>
        <w:spacing w:before="200" w:after="40"/>
      </w:pPr>
      <w:r>
        <w:rPr>
          <w:b/>
          <w:color w:val="065F46"/>
          <w:sz w:val="26"/>
        </w:rPr>
        <w:t>2. Database Design</w:t>
      </w:r>
    </w:p>
    <w:p>
      <w:pPr>
        <w:spacing w:before="0" w:after="80"/>
      </w:pPr>
      <w:r>
        <w:rPr>
          <w:i/>
          <w:color w:val="64748B"/>
          <w:sz w:val="18"/>
        </w:rPr>
        <w:t>18 tables — key decisions</w:t>
      </w:r>
    </w:p>
    <w:p>
      <w:pPr>
        <w:spacing w:before="60" w:after="60"/>
        <w:pBdr>
          <w:bottom w:val="single" w:sz="4" w:space="1" w:color="065F46"/>
        </w:pBdr>
      </w:pPr>
    </w:p>
    <w:p>
      <w:pPr>
        <w:spacing w:before="160" w:after="60"/>
      </w:pPr>
      <w:r>
        <w:rPr>
          <w:b/>
          <w:color w:val="065F46"/>
          <w:sz w:val="22"/>
        </w:rPr>
        <w:t>2.1 Table Inventory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4873"/>
        <w:gridCol w:w="4873"/>
      </w:tblGrid>
      <w:tr>
        <w:tc>
          <w:tcPr>
            <w:tcW w:type="dxa" w:w="2835"/>
            <w:shd w:val="clear" w:color="auto" w:fill="065F46"/>
          </w:tcPr>
          <w:p>
            <w:r>
              <w:rPr>
                <w:b/>
                <w:color w:val="FFFFFF"/>
                <w:sz w:val="18"/>
              </w:rPr>
              <w:t>Table</w:t>
            </w:r>
          </w:p>
        </w:tc>
        <w:tc>
          <w:tcPr>
            <w:tcW w:type="dxa" w:w="6803"/>
            <w:shd w:val="clear" w:color="auto" w:fill="065F46"/>
          </w:tcPr>
          <w:p>
            <w:r>
              <w:rPr>
                <w:b/>
                <w:color w:val="FFFFFF"/>
                <w:sz w:val="18"/>
              </w:rPr>
              <w:t>Purpose</w:t>
            </w:r>
          </w:p>
        </w:tc>
      </w:tr>
      <w:tr>
        <w:tc>
          <w:tcPr>
            <w:tcW w:type="dxa" w:w="2835"/>
            <w:shd w:val="clear" w:color="auto" w:fill="F8FAFC"/>
          </w:tcPr>
          <w:p>
            <w:r>
              <w:rPr>
                <w:b/>
                <w:color w:val="1E293B"/>
                <w:sz w:val="18"/>
              </w:rPr>
              <w:t>sale_line</w:t>
            </w:r>
          </w:p>
        </w:tc>
        <w:tc>
          <w:tcPr>
            <w:tcW w:type="dxa" w:w="6803"/>
            <w:shd w:val="clear" w:color="auto" w:fill="F8FAFC"/>
          </w:tcPr>
          <w:p>
            <w:r>
              <w:rPr>
                <w:b w:val="0"/>
                <w:color w:val="374151"/>
                <w:sz w:val="18"/>
              </w:rPr>
              <w:t>Primary invoice-line register. The analytics backbone. Versioned rows (version_status current/superseded).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r>
              <w:rPr>
                <w:b/>
                <w:color w:val="1E293B"/>
                <w:sz w:val="18"/>
              </w:rPr>
              <w:t>dashboard_snapshots</w:t>
            </w:r>
          </w:p>
        </w:tc>
        <w:tc>
          <w:tcPr>
            <w:tcW w:type="dxa" w:w="6803"/>
            <w:shd w:val="clear" w:color="auto" w:fill="FFFFFF"/>
          </w:tcPr>
          <w:p>
            <w:r>
              <w:rPr>
                <w:b w:val="0"/>
                <w:color w:val="374151"/>
                <w:sz w:val="18"/>
              </w:rPr>
              <w:t>Immutable append-only JSONB snapshots. Each refresh adds a row — never updates. Free audit trail + graceful fallback.</w:t>
            </w:r>
          </w:p>
        </w:tc>
      </w:tr>
      <w:tr>
        <w:tc>
          <w:tcPr>
            <w:tcW w:type="dxa" w:w="2835"/>
            <w:shd w:val="clear" w:color="auto" w:fill="F8FAFC"/>
          </w:tcPr>
          <w:p>
            <w:r>
              <w:rPr>
                <w:b/>
                <w:color w:val="1E293B"/>
                <w:sz w:val="18"/>
              </w:rPr>
              <w:t>secondary_dashboard_snapshot</w:t>
            </w:r>
          </w:p>
        </w:tc>
        <w:tc>
          <w:tcPr>
            <w:tcW w:type="dxa" w:w="6803"/>
            <w:shd w:val="clear" w:color="auto" w:fill="F8FAFC"/>
          </w:tcPr>
          <w:p>
            <w:r>
              <w:rPr>
                <w:b w:val="0"/>
                <w:color w:val="374151"/>
                <w:sz w:val="18"/>
              </w:rPr>
              <w:t>Frozen secondary dashboard for closed FYs. Loaded once from Sheets on cold start, served from DB permanently.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r>
              <w:rPr>
                <w:b/>
                <w:color w:val="1E293B"/>
                <w:sz w:val="18"/>
              </w:rPr>
              <w:t>secondary_head_month</w:t>
            </w:r>
          </w:p>
        </w:tc>
        <w:tc>
          <w:tcPr>
            <w:tcW w:type="dxa" w:w="6803"/>
            <w:shd w:val="clear" w:color="auto" w:fill="FFFFFF"/>
          </w:tcPr>
          <w:p>
            <w:r>
              <w:rPr>
                <w:b w:val="0"/>
                <w:color w:val="374151"/>
                <w:sz w:val="18"/>
              </w:rPr>
              <w:t>Per-member per-month secondary OB/sales/plan from STATE HEAD DASHBOARD.</w:t>
            </w:r>
          </w:p>
        </w:tc>
      </w:tr>
      <w:tr>
        <w:tc>
          <w:tcPr>
            <w:tcW w:type="dxa" w:w="2835"/>
            <w:shd w:val="clear" w:color="auto" w:fill="F8FAFC"/>
          </w:tcPr>
          <w:p>
            <w:r>
              <w:rPr>
                <w:b/>
                <w:color w:val="1E293B"/>
                <w:sz w:val="18"/>
              </w:rPr>
              <w:t>secondary_register_line</w:t>
            </w:r>
          </w:p>
        </w:tc>
        <w:tc>
          <w:tcPr>
            <w:tcW w:type="dxa" w:w="6803"/>
            <w:shd w:val="clear" w:color="auto" w:fill="F8FAFC"/>
          </w:tcPr>
          <w:p>
            <w:r>
              <w:rPr>
                <w:b w:val="0"/>
                <w:color w:val="374151"/>
                <w:sz w:val="18"/>
              </w:rPr>
              <w:t>Invoice-line level secondary (distributor→retailer) register. gross_amount / net_amount / discount_pct.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r>
              <w:rPr>
                <w:b/>
                <w:color w:val="1E293B"/>
                <w:sz w:val="18"/>
              </w:rPr>
              <w:t>primary_order_line</w:t>
            </w:r>
          </w:p>
        </w:tc>
        <w:tc>
          <w:tcPr>
            <w:tcW w:type="dxa" w:w="6803"/>
            <w:shd w:val="clear" w:color="auto" w:fill="FFFFFF"/>
          </w:tcPr>
          <w:p>
            <w:r>
              <w:rPr>
                <w:b w:val="0"/>
                <w:color w:val="374151"/>
                <w:sz w:val="18"/>
              </w:rPr>
              <w:t>Primary order book lines (Order Book FY2626-27 sheet). Taxable value by customer/code/head.</w:t>
            </w:r>
          </w:p>
        </w:tc>
      </w:tr>
      <w:tr>
        <w:tc>
          <w:tcPr>
            <w:tcW w:type="dxa" w:w="2835"/>
            <w:shd w:val="clear" w:color="auto" w:fill="F8FAFC"/>
          </w:tcPr>
          <w:p>
            <w:r>
              <w:rPr>
                <w:b/>
                <w:color w:val="1E293B"/>
                <w:sz w:val="18"/>
              </w:rPr>
              <w:t>item_master</w:t>
            </w:r>
          </w:p>
        </w:tc>
        <w:tc>
          <w:tcPr>
            <w:tcW w:type="dxa" w:w="6803"/>
            <w:shd w:val="clear" w:color="auto" w:fill="F8FAFC"/>
          </w:tcPr>
          <w:p>
            <w:r>
              <w:rPr>
                <w:b w:val="0"/>
                <w:color w:val="374151"/>
                <w:sz w:val="18"/>
              </w:rPr>
              <w:t>Product master: code → name, group, unit, MRP (MRP is list price only — never used as cost).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r>
              <w:rPr>
                <w:b/>
                <w:color w:val="1E293B"/>
                <w:sz w:val="18"/>
              </w:rPr>
              <w:t>cost_master</w:t>
            </w:r>
          </w:p>
        </w:tc>
        <w:tc>
          <w:tcPr>
            <w:tcW w:type="dxa" w:w="6803"/>
            <w:shd w:val="clear" w:color="auto" w:fill="FFFFFF"/>
          </w:tcPr>
          <w:p>
            <w:r>
              <w:rPr>
                <w:b w:val="0"/>
                <w:color w:val="374151"/>
                <w:sz w:val="18"/>
              </w:rPr>
              <w:t>Finished goods cost per code. ONLY source for margin analytics. Empty → 'Add Cost Master' message.</w:t>
            </w:r>
          </w:p>
        </w:tc>
      </w:tr>
      <w:tr>
        <w:tc>
          <w:tcPr>
            <w:tcW w:type="dxa" w:w="2835"/>
            <w:shd w:val="clear" w:color="auto" w:fill="F8FAFC"/>
          </w:tcPr>
          <w:p>
            <w:r>
              <w:rPr>
                <w:b/>
                <w:color w:val="1E293B"/>
                <w:sz w:val="18"/>
              </w:rPr>
              <w:t>customer_master</w:t>
            </w:r>
          </w:p>
        </w:tc>
        <w:tc>
          <w:tcPr>
            <w:tcW w:type="dxa" w:w="6803"/>
            <w:shd w:val="clear" w:color="auto" w:fill="F8FAFC"/>
          </w:tcPr>
          <w:p>
            <w:r>
              <w:rPr>
                <w:b w:val="0"/>
                <w:color w:val="374151"/>
                <w:sz w:val="18"/>
              </w:rPr>
              <w:t>Customer master with state head attribution and confidence level (Confirmed / Guessed).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r>
              <w:rPr>
                <w:b/>
                <w:color w:val="1E293B"/>
                <w:sz w:val="18"/>
              </w:rPr>
              <w:t>customer_mismatch_queue</w:t>
            </w:r>
          </w:p>
        </w:tc>
        <w:tc>
          <w:tcPr>
            <w:tcW w:type="dxa" w:w="6803"/>
            <w:shd w:val="clear" w:color="auto" w:fill="FFFFFF"/>
          </w:tcPr>
          <w:p>
            <w:r>
              <w:rPr>
                <w:b w:val="0"/>
                <w:color w:val="374151"/>
                <w:sz w:val="18"/>
              </w:rPr>
              <w:t>Tracks customers whose head attribution differs between master and live register.</w:t>
            </w:r>
          </w:p>
        </w:tc>
      </w:tr>
      <w:tr>
        <w:tc>
          <w:tcPr>
            <w:tcW w:type="dxa" w:w="2835"/>
            <w:shd w:val="clear" w:color="auto" w:fill="F8FAFC"/>
          </w:tcPr>
          <w:p>
            <w:r>
              <w:rPr>
                <w:b/>
                <w:color w:val="1E293B"/>
                <w:sz w:val="18"/>
              </w:rPr>
              <w:t>customer_master_log</w:t>
            </w:r>
          </w:p>
        </w:tc>
        <w:tc>
          <w:tcPr>
            <w:tcW w:type="dxa" w:w="6803"/>
            <w:shd w:val="clear" w:color="auto" w:fill="F8FAFC"/>
          </w:tcPr>
          <w:p>
            <w:r>
              <w:rPr>
                <w:b w:val="0"/>
                <w:color w:val="374151"/>
                <w:sz w:val="18"/>
              </w:rPr>
              <w:t>Audit log of every customer master field change.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r>
              <w:rPr>
                <w:b/>
                <w:color w:val="1E293B"/>
                <w:sz w:val="18"/>
              </w:rPr>
              <w:t>ingest_run</w:t>
            </w:r>
          </w:p>
        </w:tc>
        <w:tc>
          <w:tcPr>
            <w:tcW w:type="dxa" w:w="6803"/>
            <w:shd w:val="clear" w:color="auto" w:fill="FFFFFF"/>
          </w:tcPr>
          <w:p>
            <w:r>
              <w:rPr>
                <w:b w:val="0"/>
                <w:color w:val="374151"/>
                <w:sz w:val="18"/>
              </w:rPr>
              <w:t>Records every primary register ingestion attempt. status='ok'|'fail'. Fail blocks insert.</w:t>
            </w:r>
          </w:p>
        </w:tc>
      </w:tr>
      <w:tr>
        <w:tc>
          <w:tcPr>
            <w:tcW w:type="dxa" w:w="2835"/>
            <w:shd w:val="clear" w:color="auto" w:fill="F8FAFC"/>
          </w:tcPr>
          <w:p>
            <w:r>
              <w:rPr>
                <w:b/>
                <w:color w:val="1E293B"/>
                <w:sz w:val="18"/>
              </w:rPr>
              <w:t>secondary_ingest_run</w:t>
            </w:r>
          </w:p>
        </w:tc>
        <w:tc>
          <w:tcPr>
            <w:tcW w:type="dxa" w:w="6803"/>
            <w:shd w:val="clear" w:color="auto" w:fill="F8FAFC"/>
          </w:tcPr>
          <w:p>
            <w:r>
              <w:rPr>
                <w:b w:val="0"/>
                <w:color w:val="374151"/>
                <w:sz w:val="18"/>
              </w:rPr>
              <w:t>Same audit pattern for secondary register pipeline.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r>
              <w:rPr>
                <w:b/>
                <w:color w:val="1E293B"/>
                <w:sz w:val="18"/>
              </w:rPr>
              <w:t>sap_upload</w:t>
            </w:r>
          </w:p>
        </w:tc>
        <w:tc>
          <w:tcPr>
            <w:tcW w:type="dxa" w:w="6803"/>
            <w:shd w:val="clear" w:color="auto" w:fill="FFFFFF"/>
          </w:tcPr>
          <w:p>
            <w:r>
              <w:rPr>
                <w:b w:val="0"/>
                <w:color w:val="374151"/>
                <w:sz w:val="18"/>
              </w:rPr>
              <w:t>SAP XLSX file upload records (object storage path, rows_read, amount, summary).</w:t>
            </w:r>
          </w:p>
        </w:tc>
      </w:tr>
      <w:tr>
        <w:tc>
          <w:tcPr>
            <w:tcW w:type="dxa" w:w="2835"/>
            <w:shd w:val="clear" w:color="auto" w:fill="F8FAFC"/>
          </w:tcPr>
          <w:p>
            <w:r>
              <w:rPr>
                <w:b/>
                <w:color w:val="1E293B"/>
                <w:sz w:val="18"/>
              </w:rPr>
              <w:t>primary_state_targets</w:t>
            </w:r>
          </w:p>
        </w:tc>
        <w:tc>
          <w:tcPr>
            <w:tcW w:type="dxa" w:w="6803"/>
            <w:shd w:val="clear" w:color="auto" w:fill="F8FAFC"/>
          </w:tcPr>
          <w:p>
            <w:r>
              <w:rPr>
                <w:b w:val="0"/>
                <w:color w:val="374151"/>
                <w:sz w:val="18"/>
              </w:rPr>
              <w:t>Monthly per-state-head primary sales targets (lakh rupees, source given/derived).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r>
              <w:rPr>
                <w:b/>
                <w:color w:val="1E293B"/>
                <w:sz w:val="18"/>
              </w:rPr>
              <w:t>primary_target_entries</w:t>
            </w:r>
          </w:p>
        </w:tc>
        <w:tc>
          <w:tcPr>
            <w:tcW w:type="dxa" w:w="6803"/>
            <w:shd w:val="clear" w:color="auto" w:fill="FFFFFF"/>
          </w:tcPr>
          <w:p>
            <w:r>
              <w:rPr>
                <w:b w:val="0"/>
                <w:color w:val="374151"/>
                <w:sz w:val="18"/>
              </w:rPr>
              <w:t>Annual/quarterly target entries per member/role, cadence-aware (jsonb values).</w:t>
            </w:r>
          </w:p>
        </w:tc>
      </w:tr>
      <w:tr>
        <w:tc>
          <w:tcPr>
            <w:tcW w:type="dxa" w:w="2835"/>
            <w:shd w:val="clear" w:color="auto" w:fill="F8FAFC"/>
          </w:tcPr>
          <w:p>
            <w:r>
              <w:rPr>
                <w:b/>
                <w:color w:val="1E293B"/>
                <w:sz w:val="18"/>
              </w:rPr>
              <w:t>scheme_def / scheme_slab</w:t>
            </w:r>
          </w:p>
        </w:tc>
        <w:tc>
          <w:tcPr>
            <w:tcW w:type="dxa" w:w="6803"/>
            <w:shd w:val="clear" w:color="auto" w:fill="F8FAFC"/>
          </w:tcPr>
          <w:p>
            <w:r>
              <w:rPr>
                <w:b w:val="0"/>
                <w:color w:val="374151"/>
                <w:sz w:val="18"/>
              </w:rPr>
              <w:t>Configurable customer incentive schemes with tiered benefit slabs.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r>
              <w:rPr>
                <w:b/>
                <w:color w:val="1E293B"/>
                <w:sz w:val="18"/>
              </w:rPr>
              <w:t>price_multiplier</w:t>
            </w:r>
          </w:p>
        </w:tc>
        <w:tc>
          <w:tcPr>
            <w:tcW w:type="dxa" w:w="6803"/>
            <w:shd w:val="clear" w:color="auto" w:fill="FFFFFF"/>
          </w:tcPr>
          <w:p>
            <w:r>
              <w:rPr>
                <w:b w:val="0"/>
                <w:color w:val="374151"/>
                <w:sz w:val="18"/>
              </w:rPr>
              <w:t>Laspeyres price index multipliers at company/group/customer scope.</w:t>
            </w:r>
          </w:p>
        </w:tc>
      </w:tr>
      <w:tr>
        <w:tc>
          <w:tcPr>
            <w:tcW w:type="dxa" w:w="2835"/>
            <w:shd w:val="clear" w:color="auto" w:fill="F8FAFC"/>
          </w:tcPr>
          <w:p>
            <w:r>
              <w:rPr>
                <w:b/>
                <w:color w:val="1E293B"/>
                <w:sz w:val="18"/>
              </w:rPr>
              <w:t>api_keys</w:t>
            </w:r>
          </w:p>
        </w:tc>
        <w:tc>
          <w:tcPr>
            <w:tcW w:type="dxa" w:w="6803"/>
            <w:shd w:val="clear" w:color="auto" w:fill="F8FAFC"/>
          </w:tcPr>
          <w:p>
            <w:r>
              <w:rPr>
                <w:b w:val="0"/>
                <w:color w:val="374151"/>
                <w:sz w:val="18"/>
              </w:rPr>
              <w:t>API key management — prefix (visible) + bcrypt hash (never plaintext).</w:t>
            </w:r>
          </w:p>
        </w:tc>
      </w:tr>
    </w:tbl>
    <w:p>
      <w:pPr>
        <w:spacing w:after="80"/>
      </w:pPr>
    </w:p>
    <w:p>
      <w:pPr>
        <w:spacing w:before="160" w:after="60"/>
      </w:pPr>
      <w:r>
        <w:rPr>
          <w:b/>
          <w:color w:val="065F46"/>
          <w:sz w:val="22"/>
        </w:rPr>
        <w:t>2.2 sale_line — The Most Critical Table</w:t>
      </w:r>
    </w:p>
    <w:p>
      <w:pPr>
        <w:pStyle w:val="ListBullet"/>
        <w:spacing w:after="40"/>
        <w:ind w:left="283"/>
      </w:pPr>
      <w:r>
        <w:rPr>
          <w:b/>
          <w:color w:val="1D4ED8"/>
          <w:sz w:val="19"/>
        </w:rPr>
        <w:t xml:space="preserve">Primary key: </w:t>
      </w:r>
      <w:r>
        <w:rPr>
          <w:color w:val="374151"/>
          <w:sz w:val="19"/>
        </w:rPr>
        <w:t>line_uid = fy|month_label|customer|code|qty|sale_rate|amount|occurrence. Invoice number intentionally excluded — not stable across export formats.</w:t>
      </w:r>
    </w:p>
    <w:p>
      <w:pPr>
        <w:pStyle w:val="ListBullet"/>
        <w:spacing w:after="40"/>
        <w:ind w:left="283"/>
      </w:pPr>
      <w:r>
        <w:rPr>
          <w:b/>
          <w:color w:val="1D4ED8"/>
          <w:sz w:val="19"/>
        </w:rPr>
        <w:t xml:space="preserve">Occurrence counter — critical: </w:t>
      </w:r>
      <w:r>
        <w:rPr>
          <w:color w:val="374151"/>
          <w:sz w:val="19"/>
        </w:rPr>
        <w:t>Count occurrence over ALL source rows BEFORE any filtering. Counting on a filtered subset changes the sequence and breaks dedup — duplicates get different UIDs and slip through.</w:t>
      </w:r>
    </w:p>
    <w:p>
      <w:pPr>
        <w:pStyle w:val="ListBullet"/>
        <w:spacing w:after="40"/>
        <w:ind w:left="283"/>
      </w:pPr>
      <w:r>
        <w:rPr>
          <w:b/>
          <w:color w:val="1D4ED8"/>
          <w:sz w:val="19"/>
        </w:rPr>
        <w:t xml:space="preserve">Version lifecycle: </w:t>
      </w:r>
      <w:r>
        <w:rPr>
          <w:color w:val="374151"/>
          <w:sz w:val="19"/>
        </w:rPr>
        <w:t>version_status = 'current' | 'superseded'. Exactly one current row per identity key at all times. Rate correction: old row → superseded, new row → current. Analytics always filter WHERE version_status = 'current'.</w:t>
      </w:r>
    </w:p>
    <w:p>
      <w:pPr>
        <w:pStyle w:val="ListBullet"/>
        <w:spacing w:after="40"/>
        <w:ind w:left="283"/>
      </w:pPr>
      <w:r>
        <w:rPr>
          <w:b/>
          <w:color w:val="1D4ED8"/>
          <w:sz w:val="19"/>
        </w:rPr>
        <w:t xml:space="preserve">Idempotency: </w:t>
      </w:r>
      <w:r>
        <w:rPr>
          <w:color w:val="374151"/>
          <w:sz w:val="19"/>
        </w:rPr>
        <w:t>All inserts are ON CONFLICT DO NOTHING. Running xlsx backfill or Sheets sync twice produces the same DB state — fully idempotent.</w:t>
      </w:r>
    </w:p>
    <w:p>
      <w:pPr>
        <w:pStyle w:val="ListBullet"/>
        <w:spacing w:after="40"/>
        <w:ind w:left="283"/>
      </w:pPr>
      <w:r>
        <w:rPr>
          <w:b/>
          <w:color w:val="1D4ED8"/>
          <w:sz w:val="19"/>
        </w:rPr>
        <w:t xml:space="preserve">Null invoice_date: </w:t>
      </w:r>
      <w:r>
        <w:rPr>
          <w:color w:val="374151"/>
          <w:sz w:val="19"/>
        </w:rPr>
        <w:t>Historical FYs (pre-FY2026-27) have NULL invoice_date — Sheets-backfilled rows have no DATE column. Analytics month-completeness falls back to calendar when invoice_date is null.</w:t>
      </w:r>
    </w:p>
    <w:p>
      <w:pPr>
        <w:pStyle w:val="ListBullet"/>
        <w:spacing w:after="40"/>
        <w:ind w:left="283"/>
      </w:pPr>
      <w:r>
        <w:rPr>
          <w:b/>
          <w:color w:val="1D4ED8"/>
          <w:sz w:val="19"/>
        </w:rPr>
        <w:t xml:space="preserve">Litre quantities: </w:t>
      </w:r>
      <w:r>
        <w:rPr>
          <w:color w:val="374151"/>
          <w:sz w:val="19"/>
        </w:rPr>
        <w:t>qty_ltr stores litre-equivalent quantity for WATER TANK and liquid products. Report 4 uses this for correct Ltr unit display.</w:t>
      </w:r>
    </w:p>
    <w:p>
      <w:pPr>
        <w:spacing w:before="160" w:after="60"/>
      </w:pPr>
      <w:r>
        <w:rPr>
          <w:b/>
          <w:color w:val="065F46"/>
          <w:sz w:val="22"/>
        </w:rPr>
        <w:t>2.3 Snapshot Model</w:t>
      </w:r>
    </w:p>
    <w:p>
      <w:pPr>
        <w:spacing w:after="80"/>
      </w:pPr>
      <w:r>
        <w:rPr>
          <w:color w:val="374151"/>
          <w:sz w:val="19"/>
        </w:rPr>
        <w:t>dashboard_snapshots stores the full dashboard payload as JSONB in append-only fashion. Every sync writes a NEW row — existing rows are never updated. This gives: (1) free historical snapshots, (2) instant fallback to last good snapshot if live sync fails, (3) seed bootstrap without any prior DB state dependency.</w:t>
      </w:r>
    </w:p>
    <w:p>
      <w:pPr>
        <w:spacing w:before="60" w:after="120"/>
        <w:ind w:left="227" w:right="227"/>
      </w:pPr>
      <w:r>
        <w:rPr>
          <w:i/>
          <w:color w:val="92400E"/>
          <w:sz w:val="18"/>
        </w:rPr>
        <w:t xml:space="preserve">  Note: On failure, POST /dashboard/refresh returns the last good snapshot + a refreshError string. The UI never goes blank, even if Google Sheets is unreachable.</w:t>
      </w:r>
    </w:p>
    <w:p>
      <w:pPr>
        <w:spacing w:before="160" w:after="60"/>
      </w:pPr>
      <w:r>
        <w:rPr>
          <w:b/>
          <w:color w:val="065F46"/>
          <w:sz w:val="22"/>
        </w:rPr>
        <w:t>2.4 Secondary Data Freeze</w:t>
      </w:r>
    </w:p>
    <w:p>
      <w:pPr>
        <w:pStyle w:val="ListBullet"/>
        <w:spacing w:after="40"/>
        <w:ind w:left="283"/>
      </w:pPr>
      <w:r>
        <w:rPr>
          <w:b/>
          <w:color w:val="1D4ED8"/>
          <w:sz w:val="19"/>
        </w:rPr>
        <w:t xml:space="preserve">Frozen FY: </w:t>
      </w:r>
      <w:r>
        <w:rPr>
          <w:color w:val="374151"/>
          <w:sz w:val="19"/>
        </w:rPr>
        <w:t>Closed FYs (isClosedFy(fy)=true): secondary data loaded from secondary_dashboard_snapshot table on cold start. Cached permanently — no TTL. No Sheets read ever needed for old FYs.</w:t>
      </w:r>
    </w:p>
    <w:p>
      <w:pPr>
        <w:pStyle w:val="ListBullet"/>
        <w:spacing w:after="40"/>
        <w:ind w:left="283"/>
      </w:pPr>
      <w:r>
        <w:rPr>
          <w:b/>
          <w:color w:val="1D4ED8"/>
          <w:sz w:val="19"/>
        </w:rPr>
        <w:t xml:space="preserve">Open FY: </w:t>
      </w:r>
      <w:r>
        <w:rPr>
          <w:color w:val="374151"/>
          <w:sz w:val="19"/>
        </w:rPr>
        <w:t>Open FY: secondary_head_month populated from live STATE HEAD DASHBOARD. 6h TTL cache.</w:t>
      </w:r>
    </w:p>
    <w:p>
      <w:pPr>
        <w:pStyle w:val="ListBullet"/>
        <w:spacing w:after="40"/>
        <w:ind w:left="283"/>
      </w:pPr>
      <w:r>
        <w:rPr>
          <w:b/>
          <w:color w:val="1D4ED8"/>
          <w:sz w:val="19"/>
        </w:rPr>
        <w:t xml:space="preserve">FY2025-26 status: </w:t>
      </w:r>
      <w:r>
        <w:rPr>
          <w:color w:val="374151"/>
          <w:sz w:val="19"/>
        </w:rPr>
        <w:t>FY2025-26 frozen July 20 2026: 216 members, plan ₹379.75 Cr, salesReceived ₹240.14 Cr, ytdAchievement 68.1%.</w:t>
      </w:r>
    </w:p>
    <w:p>
      <w:r>
        <w:br w:type="page"/>
      </w:r>
    </w:p>
    <w:p>
      <w:pPr>
        <w:spacing w:before="200" w:after="40"/>
      </w:pPr>
      <w:r>
        <w:rPr>
          <w:b/>
          <w:color w:val="7C2D12"/>
          <w:sz w:val="26"/>
        </w:rPr>
        <w:t>3. Data Pipelines</w:t>
      </w:r>
    </w:p>
    <w:p>
      <w:pPr>
        <w:spacing w:before="0" w:after="80"/>
      </w:pPr>
      <w:r>
        <w:rPr>
          <w:i/>
          <w:color w:val="64748B"/>
          <w:sz w:val="18"/>
        </w:rPr>
        <w:t>Primary register, secondary, SAP, and snapshot</w:t>
      </w:r>
    </w:p>
    <w:p>
      <w:pPr>
        <w:spacing w:before="60" w:after="60"/>
        <w:pBdr>
          <w:bottom w:val="single" w:sz="4" w:space="1" w:color="7C2D12"/>
        </w:pBdr>
      </w:pPr>
    </w:p>
    <w:p>
      <w:pPr>
        <w:spacing w:before="160" w:after="60"/>
      </w:pPr>
      <w:r>
        <w:rPr>
          <w:b/>
          <w:color w:val="7C2D12"/>
          <w:sz w:val="22"/>
        </w:rPr>
        <w:t>3.1 Primary Register Pipeline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4873"/>
        <w:gridCol w:w="4873"/>
      </w:tblGrid>
      <w:tr>
        <w:tc>
          <w:tcPr>
            <w:tcW w:type="dxa" w:w="2268"/>
            <w:shd w:val="clear" w:color="auto" w:fill="7C2D12"/>
          </w:tcPr>
          <w:p>
            <w:r>
              <w:rPr>
                <w:b/>
                <w:color w:val="FFFFFF"/>
                <w:sz w:val="18"/>
              </w:rPr>
              <w:t>Stage</w:t>
            </w:r>
          </w:p>
        </w:tc>
        <w:tc>
          <w:tcPr>
            <w:tcW w:type="dxa" w:w="7370"/>
            <w:shd w:val="clear" w:color="auto" w:fill="7C2D12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2268"/>
            <w:shd w:val="clear" w:color="auto" w:fill="F8FAFC"/>
          </w:tcPr>
          <w:p>
            <w:r>
              <w:rPr>
                <w:b/>
                <w:color w:val="1E293B"/>
                <w:sz w:val="18"/>
              </w:rPr>
              <w:t>Sources</w:t>
            </w:r>
          </w:p>
        </w:tc>
        <w:tc>
          <w:tcPr>
            <w:tcW w:type="dxa" w:w="7370"/>
            <w:shd w:val="clear" w:color="auto" w:fill="F8FAFC"/>
          </w:tcPr>
          <w:p>
            <w:r>
              <w:rPr>
                <w:b w:val="0"/>
                <w:color w:val="374151"/>
                <w:sz w:val="18"/>
              </w:rPr>
              <w:t>Google Sheets (FY23-24, FY24-25, FY25-26 via Drive XLSX export). SAP XLSX monthly upload (FY26-27+). xlsx backfill CLI for historical data.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>
              <w:rPr>
                <w:b/>
                <w:color w:val="1E293B"/>
                <w:sz w:val="18"/>
              </w:rPr>
              <w:t>Read (Sheets)</w:t>
            </w:r>
          </w:p>
        </w:tc>
        <w:tc>
          <w:tcPr>
            <w:tcW w:type="dxa" w:w="7370"/>
            <w:shd w:val="clear" w:color="auto" w:fill="FFFFFF"/>
          </w:tcPr>
          <w:p>
            <w:r>
              <w:rPr>
                <w:b w:val="0"/>
                <w:color w:val="374151"/>
                <w:sz w:val="18"/>
              </w:rPr>
              <w:t>spreadsheets.values.get in 50,000-row chunks with 429/5xx retry + exponential backoff. NEVER files.export for registers.</w:t>
            </w:r>
          </w:p>
        </w:tc>
      </w:tr>
      <w:tr>
        <w:tc>
          <w:tcPr>
            <w:tcW w:type="dxa" w:w="2268"/>
            <w:shd w:val="clear" w:color="auto" w:fill="F8FAFC"/>
          </w:tcPr>
          <w:p>
            <w:r>
              <w:rPr>
                <w:b/>
                <w:color w:val="1E293B"/>
                <w:sz w:val="18"/>
              </w:rPr>
              <w:t>Read (xlsx/SAP)</w:t>
            </w:r>
          </w:p>
        </w:tc>
        <w:tc>
          <w:tcPr>
            <w:tcW w:type="dxa" w:w="7370"/>
            <w:shd w:val="clear" w:color="auto" w:fill="F8FAFC"/>
          </w:tcPr>
          <w:p>
            <w:r>
              <w:rPr>
                <w:b w:val="0"/>
                <w:color w:val="374151"/>
                <w:sz w:val="18"/>
              </w:rPr>
              <w:t>ExcelJS streaming parse. Headers auto-detected by content — NOT hardcoded column positions.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>
              <w:rPr>
                <w:b/>
                <w:color w:val="1E293B"/>
                <w:sz w:val="18"/>
              </w:rPr>
              <w:t>Normalise</w:t>
            </w:r>
          </w:p>
        </w:tc>
        <w:tc>
          <w:tcPr>
            <w:tcW w:type="dxa" w:w="7370"/>
            <w:shd w:val="clear" w:color="auto" w:fill="FFFFFF"/>
          </w:tcPr>
          <w:p>
            <w:r>
              <w:rPr>
                <w:b w:val="0"/>
                <w:color w:val="374151"/>
                <w:sz w:val="18"/>
              </w:rPr>
              <w:t>config/normalize.json maps state head aliases, product group aliases, state name variants. All names lower-trimmed. FY24-25/FY25-26 21-col SAP format: ITEMCOLOR + STATEHEADNAME columns aliased in normalize.ts.</w:t>
            </w:r>
          </w:p>
        </w:tc>
      </w:tr>
      <w:tr>
        <w:tc>
          <w:tcPr>
            <w:tcW w:type="dxa" w:w="2268"/>
            <w:shd w:val="clear" w:color="auto" w:fill="F8FAFC"/>
          </w:tcPr>
          <w:p>
            <w:r>
              <w:rPr>
                <w:b/>
                <w:color w:val="1E293B"/>
                <w:sz w:val="18"/>
              </w:rPr>
              <w:t>Guardrails</w:t>
            </w:r>
          </w:p>
        </w:tc>
        <w:tc>
          <w:tcPr>
            <w:tcW w:type="dxa" w:w="7370"/>
            <w:shd w:val="clear" w:color="auto" w:fill="F8FAFC"/>
          </w:tcPr>
          <w:p>
            <w:r>
              <w:rPr>
                <w:b w:val="0"/>
                <w:color w:val="374151"/>
                <w:sz w:val="18"/>
              </w:rPr>
              <w:t>(1) Expected per-FY row count ±2%. (2) Zero unmapped product groups. (3) Sum consistency ±1 rupee. (4) No negative amounts. ANY failure → ingest_run.status='fail', INSERT BLOCKED.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>
              <w:rPr>
                <w:b/>
                <w:color w:val="1E293B"/>
                <w:sz w:val="18"/>
              </w:rPr>
              <w:t>Dedup</w:t>
            </w:r>
          </w:p>
        </w:tc>
        <w:tc>
          <w:tcPr>
            <w:tcW w:type="dxa" w:w="7370"/>
            <w:shd w:val="clear" w:color="auto" w:fill="FFFFFF"/>
          </w:tcPr>
          <w:p>
            <w:r>
              <w:rPr>
                <w:b w:val="0"/>
                <w:color w:val="374151"/>
                <w:sz w:val="18"/>
              </w:rPr>
              <w:t>INSERT ON CONFLICT (line_uid) DO NOTHING. Two-guard dedup: dedupeByNaturalKey function + unique DB index.</w:t>
            </w:r>
          </w:p>
        </w:tc>
      </w:tr>
      <w:tr>
        <w:tc>
          <w:tcPr>
            <w:tcW w:type="dxa" w:w="2268"/>
            <w:shd w:val="clear" w:color="auto" w:fill="F8FAFC"/>
          </w:tcPr>
          <w:p>
            <w:r>
              <w:rPr>
                <w:b/>
                <w:color w:val="1E293B"/>
                <w:sz w:val="18"/>
              </w:rPr>
              <w:t>Versioning</w:t>
            </w:r>
          </w:p>
        </w:tc>
        <w:tc>
          <w:tcPr>
            <w:tcW w:type="dxa" w:w="7370"/>
            <w:shd w:val="clear" w:color="auto" w:fill="F8FAFC"/>
          </w:tcPr>
          <w:p>
            <w:r>
              <w:rPr>
                <w:b w:val="0"/>
                <w:color w:val="374151"/>
                <w:sz w:val="18"/>
              </w:rPr>
              <w:t>versionedSyncLines: when same identity key appears with different rate, current row → superseded, new row → current.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>
              <w:rPr>
                <w:b/>
                <w:color w:val="1E293B"/>
                <w:sz w:val="18"/>
              </w:rPr>
              <w:t>Tab name matching</w:t>
            </w:r>
          </w:p>
        </w:tc>
        <w:tc>
          <w:tcPr>
            <w:tcW w:type="dxa" w:w="7370"/>
            <w:shd w:val="clear" w:color="auto" w:fill="FFFFFF"/>
          </w:tcPr>
          <w:p>
            <w:r>
              <w:rPr>
                <w:b w:val="0"/>
                <w:color w:val="374151"/>
                <w:sz w:val="18"/>
              </w:rPr>
              <w:t>xlsx exports truncate tab titles to 31 characters. Always use startsWith(), never strict equality.</w:t>
            </w:r>
          </w:p>
        </w:tc>
      </w:tr>
    </w:tbl>
    <w:p>
      <w:pPr>
        <w:spacing w:after="80"/>
      </w:pPr>
    </w:p>
    <w:p>
      <w:pPr>
        <w:spacing w:before="160" w:after="60"/>
      </w:pPr>
      <w:r>
        <w:rPr>
          <w:b/>
          <w:color w:val="7C2D12"/>
          <w:sz w:val="22"/>
        </w:rPr>
        <w:t>3.2 SAP Pipeline (FY2026-27 onwards)</w:t>
      </w:r>
    </w:p>
    <w:p>
      <w:pPr>
        <w:pStyle w:val="ListBullet"/>
        <w:spacing w:after="40"/>
        <w:ind w:left="283"/>
      </w:pPr>
      <w:r>
        <w:rPr>
          <w:b/>
          <w:color w:val="1D4ED8"/>
          <w:sz w:val="19"/>
        </w:rPr>
        <w:t xml:space="preserve">Upload: </w:t>
      </w:r>
      <w:r>
        <w:rPr>
          <w:color w:val="374151"/>
          <w:sz w:val="19"/>
        </w:rPr>
        <w:t>POST /api/sap/upload: stores XLSX in Object Storage, writes sap_upload record.</w:t>
      </w:r>
    </w:p>
    <w:p>
      <w:pPr>
        <w:pStyle w:val="ListBullet"/>
        <w:spacing w:after="40"/>
        <w:ind w:left="283"/>
      </w:pPr>
      <w:r>
        <w:rPr>
          <w:b/>
          <w:color w:val="1D4ED8"/>
          <w:sz w:val="19"/>
        </w:rPr>
        <w:t xml:space="preserve">Month detection: </w:t>
      </w:r>
      <w:r>
        <w:rPr>
          <w:color w:val="374151"/>
          <w:sz w:val="19"/>
        </w:rPr>
        <w:t>Month derived from invoice_date column in file — NOT from filename. Resilient to naming inconsistencies.</w:t>
      </w:r>
    </w:p>
    <w:p>
      <w:pPr>
        <w:pStyle w:val="ListBullet"/>
        <w:spacing w:after="40"/>
        <w:ind w:left="283"/>
      </w:pPr>
      <w:r>
        <w:rPr>
          <w:b/>
          <w:color w:val="1D4ED8"/>
          <w:sz w:val="19"/>
        </w:rPr>
        <w:t xml:space="preserve">Ingest: </w:t>
      </w:r>
      <w:r>
        <w:rPr>
          <w:color w:val="374151"/>
          <w:sz w:val="19"/>
        </w:rPr>
        <w:t>POST /api/sap/ingest/:id merges rows into sale_line. versionedSyncLines handles rate corrections.</w:t>
      </w:r>
    </w:p>
    <w:p>
      <w:pPr>
        <w:pStyle w:val="ListBullet"/>
        <w:spacing w:after="40"/>
        <w:ind w:left="283"/>
      </w:pPr>
      <w:r>
        <w:rPr>
          <w:b/>
          <w:color w:val="1D4ED8"/>
          <w:sz w:val="19"/>
        </w:rPr>
        <w:t xml:space="preserve">SAP freshness check: </w:t>
      </w:r>
      <w:r>
        <w:rPr>
          <w:color w:val="374151"/>
          <w:sz w:val="19"/>
        </w:rPr>
        <w:t>Group 9 audit check: compares derived register row count vs SAP source tab count per month.</w:t>
      </w:r>
    </w:p>
    <w:p>
      <w:pPr>
        <w:pStyle w:val="ListBullet"/>
        <w:spacing w:after="40"/>
        <w:ind w:left="283"/>
      </w:pPr>
      <w:r>
        <w:rPr>
          <w:b/>
          <w:color w:val="1D4ED8"/>
          <w:sz w:val="19"/>
        </w:rPr>
        <w:t xml:space="preserve">Rate list rule: </w:t>
      </w:r>
      <w:r>
        <w:rPr>
          <w:color w:val="374151"/>
          <w:sz w:val="19"/>
        </w:rPr>
        <w:t>Rate list / item master: NEVER supplies cost or MRP for margin analytics. List price reference only.</w:t>
      </w:r>
    </w:p>
    <w:p>
      <w:pPr>
        <w:spacing w:before="60" w:after="120"/>
        <w:ind w:left="227" w:right="227"/>
      </w:pPr>
      <w:r>
        <w:rPr>
          <w:i/>
          <w:color w:val="92400E"/>
          <w:sz w:val="18"/>
        </w:rPr>
        <w:t xml:space="preserve">  Note: STANDING CONSTRAINT: Google Drive access is STRICTLY READ-ONLY. No writes, deletes, moves, or renames are permitted under any circumstances.</w:t>
      </w:r>
    </w:p>
    <w:p>
      <w:pPr>
        <w:spacing w:before="160" w:after="60"/>
      </w:pPr>
      <w:r>
        <w:rPr>
          <w:b/>
          <w:color w:val="7C2D12"/>
          <w:sz w:val="22"/>
        </w:rPr>
        <w:t>3.3 Cell Type Coercion</w:t>
      </w:r>
    </w:p>
    <w:p>
      <w:pPr>
        <w:pStyle w:val="ListBullet"/>
        <w:spacing w:after="40"/>
        <w:ind w:left="283"/>
      </w:pPr>
      <w:r>
        <w:rPr>
          <w:color w:val="374151"/>
          <w:sz w:val="19"/>
        </w:rPr>
        <w:t>Monthly order booking cells in Sheets are stored as strings. Always use cell helper coercion functions in src/lib/sheets.ts. Never assume a number cell is actually a numeric type.</w:t>
      </w:r>
    </w:p>
    <w:p>
      <w:pPr>
        <w:pStyle w:val="ListBullet"/>
        <w:spacing w:after="40"/>
        <w:ind w:left="283"/>
      </w:pPr>
      <w:r>
        <w:rPr>
          <w:color w:val="374151"/>
          <w:sz w:val="19"/>
        </w:rPr>
        <w:t>If sheets.ts fails to typecheck with a Buffer&lt;ArrayBufferLike&gt; mismatch on xlsx.load, cast via Parameters&lt;typeof workbook.xlsx.load&gt;[0] (multi-version @types/node issue).</w:t>
      </w:r>
    </w:p>
    <w:p>
      <w:r>
        <w:br w:type="page"/>
      </w:r>
    </w:p>
    <w:p>
      <w:pPr>
        <w:spacing w:before="200" w:after="40"/>
      </w:pPr>
      <w:r>
        <w:rPr>
          <w:b/>
          <w:color w:val="1E3A5F"/>
          <w:sz w:val="26"/>
        </w:rPr>
        <w:t>4. Key Business Logic</w:t>
      </w:r>
    </w:p>
    <w:p>
      <w:pPr>
        <w:spacing w:before="0" w:after="80"/>
      </w:pPr>
      <w:r>
        <w:rPr>
          <w:i/>
          <w:color w:val="64748B"/>
          <w:sz w:val="18"/>
        </w:rPr>
        <w:t>Rules that must not change without explicit approval</w:t>
      </w:r>
    </w:p>
    <w:p>
      <w:pPr>
        <w:spacing w:before="60" w:after="60"/>
        <w:pBdr>
          <w:bottom w:val="single" w:sz="4" w:space="1" w:color="1E3A5F"/>
        </w:pBdr>
      </w:pPr>
    </w:p>
    <w:p>
      <w:pPr>
        <w:spacing w:before="160" w:after="60"/>
      </w:pPr>
      <w:r>
        <w:rPr>
          <w:b/>
          <w:color w:val="1E3A5F"/>
          <w:sz w:val="22"/>
        </w:rPr>
        <w:t>4.1 Reporting Authority</w:t>
      </w:r>
    </w:p>
    <w:p>
      <w:pPr>
        <w:pStyle w:val="ListBullet"/>
        <w:spacing w:after="40"/>
        <w:ind w:left="283"/>
      </w:pPr>
      <w:r>
        <w:rPr>
          <w:b/>
          <w:color w:val="1D4ED8"/>
          <w:sz w:val="19"/>
        </w:rPr>
        <w:t xml:space="preserve">Dashboard is primary: </w:t>
      </w:r>
      <w:r>
        <w:rPr>
          <w:color w:val="374151"/>
          <w:sz w:val="19"/>
        </w:rPr>
        <w:t>The State Head Dashboard (aggregated plan/ordered/received per head per month) drives ALL KPIs. SOLE source for headline order booking and sales.</w:t>
      </w:r>
    </w:p>
    <w:p>
      <w:pPr>
        <w:pStyle w:val="ListBullet"/>
        <w:spacing w:after="40"/>
        <w:ind w:left="283"/>
      </w:pPr>
      <w:r>
        <w:rPr>
          <w:b/>
          <w:color w:val="1D4ED8"/>
          <w:sz w:val="19"/>
        </w:rPr>
        <w:t xml:space="preserve">Register is drill-down only: </w:t>
      </w:r>
      <w:r>
        <w:rPr>
          <w:color w:val="374151"/>
          <w:sz w:val="19"/>
        </w:rPr>
        <w:t>sale_line register is for drill-down analytics only (customer/SKU/month). Must NEVER be surfaced as a top-line headline number.</w:t>
      </w:r>
    </w:p>
    <w:p>
      <w:pPr>
        <w:pStyle w:val="ListBullet"/>
        <w:spacing w:after="40"/>
        <w:ind w:left="283"/>
      </w:pPr>
      <w:r>
        <w:rPr>
          <w:b/>
          <w:color w:val="1D4ED8"/>
          <w:sz w:val="19"/>
        </w:rPr>
        <w:t xml:space="preserve">Gross vs Net: </w:t>
      </w:r>
      <w:r>
        <w:rPr>
          <w:color w:val="374151"/>
          <w:sz w:val="19"/>
        </w:rPr>
        <w:t>gross_amount = order value before trade discount (use for market-size analysis). net_amount = after discount. Achievement uses net_amount or dashboard figures — never gross.</w:t>
      </w:r>
    </w:p>
    <w:p>
      <w:pPr>
        <w:pStyle w:val="ListBullet"/>
        <w:spacing w:after="40"/>
        <w:ind w:left="283"/>
      </w:pPr>
      <w:r>
        <w:rPr>
          <w:b/>
          <w:color w:val="1D4ED8"/>
          <w:sz w:val="19"/>
        </w:rPr>
        <w:t xml:space="preserve">Monthly reconciliation: </w:t>
      </w:r>
      <w:r>
        <w:rPr>
          <w:color w:val="374151"/>
          <w:sz w:val="19"/>
        </w:rPr>
        <w:t>Reconciliation runs monthly after each month closes. net_amount sum across month/head must match dashboard ordered_amount. Tolerance ±1%.</w:t>
      </w:r>
    </w:p>
    <w:p>
      <w:pPr>
        <w:spacing w:before="160" w:after="60"/>
      </w:pPr>
      <w:r>
        <w:rPr>
          <w:b/>
          <w:color w:val="1E3A5F"/>
          <w:sz w:val="22"/>
        </w:rPr>
        <w:t>4.2 Analytics Rules — Non-Negotiable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4873"/>
        <w:gridCol w:w="4873"/>
      </w:tblGrid>
      <w:tr>
        <w:tc>
          <w:tcPr>
            <w:tcW w:type="dxa" w:w="2551"/>
            <w:shd w:val="clear" w:color="auto" w:fill="1E3A5F"/>
          </w:tcPr>
          <w:p>
            <w:r>
              <w:rPr>
                <w:b/>
                <w:color w:val="FFFFFF"/>
                <w:sz w:val="18"/>
              </w:rPr>
              <w:t>Rule</w:t>
            </w:r>
          </w:p>
        </w:tc>
        <w:tc>
          <w:tcPr>
            <w:tcW w:type="dxa" w:w="7087"/>
            <w:shd w:val="clear" w:color="auto" w:fill="1E3A5F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2551"/>
            <w:shd w:val="clear" w:color="auto" w:fill="F8FAFC"/>
          </w:tcPr>
          <w:p>
            <w:r>
              <w:rPr>
                <w:b/>
                <w:color w:val="1E293B"/>
                <w:sz w:val="18"/>
              </w:rPr>
              <w:t>Month completeness</w:t>
            </w:r>
          </w:p>
        </w:tc>
        <w:tc>
          <w:tcPr>
            <w:tcW w:type="dxa" w:w="7087"/>
            <w:shd w:val="clear" w:color="auto" w:fill="F8FAFC"/>
          </w:tcPr>
          <w:p>
            <w:r>
              <w:rPr>
                <w:b w:val="0"/>
                <w:color w:val="374151"/>
                <w:sz w:val="18"/>
              </w:rPr>
              <w:t>A month is complete when max(invoice_date) for that month reaches the month's last calendar day. Historical FYs with NULL invoice_date use calendar (month fully elapsed). useCompleteMonths(fy) is the canonical enforcement point.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r>
              <w:rPr>
                <w:b/>
                <w:color w:val="1E293B"/>
                <w:sz w:val="18"/>
              </w:rPr>
              <w:t>YoY comparison</w:t>
            </w:r>
          </w:p>
        </w:tc>
        <w:tc>
          <w:tcPr>
            <w:tcW w:type="dxa" w:w="7087"/>
            <w:shd w:val="clear" w:color="auto" w:fill="FFFFFF"/>
          </w:tcPr>
          <w:p>
            <w:r>
              <w:rPr>
                <w:b w:val="0"/>
                <w:color w:val="374151"/>
                <w:sz w:val="18"/>
              </w:rPr>
              <w:t>Only complete months. Partial current month always excluded. For like-for-like, use Q1 (Apr–Jun), not Q1 + partial July.</w:t>
            </w:r>
          </w:p>
        </w:tc>
      </w:tr>
      <w:tr>
        <w:tc>
          <w:tcPr>
            <w:tcW w:type="dxa" w:w="2551"/>
            <w:shd w:val="clear" w:color="auto" w:fill="F8FAFC"/>
          </w:tcPr>
          <w:p>
            <w:r>
              <w:rPr>
                <w:b/>
                <w:color w:val="1E293B"/>
                <w:sz w:val="18"/>
              </w:rPr>
              <w:t>Territory vs Institutional</w:t>
            </w:r>
          </w:p>
        </w:tc>
        <w:tc>
          <w:tcPr>
            <w:tcW w:type="dxa" w:w="7087"/>
            <w:shd w:val="clear" w:color="auto" w:fill="F8FAFC"/>
          </w:tcPr>
          <w:p>
            <w:r>
              <w:rPr>
                <w:b w:val="0"/>
                <w:color w:val="374151"/>
                <w:sz w:val="18"/>
              </w:rPr>
              <w:t>NEVER blend the two in YoY or achievement. CombinedPerformanceDashboard uses explicit label-set intersection so both sides cover identical calendar months.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r>
              <w:rPr>
                <w:b/>
                <w:color w:val="1E293B"/>
                <w:sz w:val="18"/>
              </w:rPr>
              <w:t>QTY aggregation</w:t>
            </w:r>
          </w:p>
        </w:tc>
        <w:tc>
          <w:tcPr>
            <w:tcW w:type="dxa" w:w="7087"/>
            <w:shd w:val="clear" w:color="auto" w:fill="FFFFFF"/>
          </w:tcPr>
          <w:p>
            <w:r>
              <w:rPr>
                <w:b w:val="0"/>
                <w:color w:val="374151"/>
                <w:sz w:val="18"/>
              </w:rPr>
              <w:t>QTY is never summed across product groups. Different groups have different units (Kg, Ltr, Nos). Aggregate within a single product group only.</w:t>
            </w:r>
          </w:p>
        </w:tc>
      </w:tr>
      <w:tr>
        <w:tc>
          <w:tcPr>
            <w:tcW w:type="dxa" w:w="2551"/>
            <w:shd w:val="clear" w:color="auto" w:fill="F8FAFC"/>
          </w:tcPr>
          <w:p>
            <w:r>
              <w:rPr>
                <w:b/>
                <w:color w:val="1E293B"/>
                <w:sz w:val="18"/>
              </w:rPr>
              <w:t>Cost and Margins</w:t>
            </w:r>
          </w:p>
        </w:tc>
        <w:tc>
          <w:tcPr>
            <w:tcW w:type="dxa" w:w="7087"/>
            <w:shd w:val="clear" w:color="auto" w:fill="F8FAFC"/>
          </w:tcPr>
          <w:p>
            <w:r>
              <w:rPr>
                <w:b w:val="0"/>
                <w:color w:val="374151"/>
                <w:sz w:val="18"/>
              </w:rPr>
              <w:t>Margins come ONLY from cost_master.fg_cost. Empty cost_master → return [] + 'Add a Cost Master' message. MRP and Purchase Price must NEVER be used as cost.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r>
              <w:rPr>
                <w:b/>
                <w:color w:val="1E293B"/>
                <w:sz w:val="18"/>
              </w:rPr>
              <w:t>Laspeyres index</w:t>
            </w:r>
          </w:p>
        </w:tc>
        <w:tc>
          <w:tcPr>
            <w:tcW w:type="dxa" w:w="7087"/>
            <w:shd w:val="clear" w:color="auto" w:fill="FFFFFF"/>
          </w:tcPr>
          <w:p>
            <w:r>
              <w:rPr>
                <w:b w:val="0"/>
                <w:color w:val="374151"/>
                <w:sz w:val="18"/>
              </w:rPr>
              <w:t>Price multiplier = LY prices applied to CY quantities for shared items. Computed at company, group, and customer scope. Frozen multipliers (frozen=true) are not recomputed.</w:t>
            </w:r>
          </w:p>
        </w:tc>
      </w:tr>
      <w:tr>
        <w:tc>
          <w:tcPr>
            <w:tcW w:type="dxa" w:w="2551"/>
            <w:shd w:val="clear" w:color="auto" w:fill="F8FAFC"/>
          </w:tcPr>
          <w:p>
            <w:r>
              <w:rPr>
                <w:b/>
                <w:color w:val="1E293B"/>
                <w:sz w:val="18"/>
              </w:rPr>
              <w:t>At-risk scoring</w:t>
            </w:r>
          </w:p>
        </w:tc>
        <w:tc>
          <w:tcPr>
            <w:tcW w:type="dxa" w:w="7087"/>
            <w:shd w:val="clear" w:color="auto" w:fill="F8FAFC"/>
          </w:tcPr>
          <w:p>
            <w:r>
              <w:rPr>
                <w:b w:val="0"/>
                <w:color w:val="374151"/>
                <w:sz w:val="18"/>
              </w:rPr>
              <w:t>Median-gap scoring replaces binary churn. SEASONAL_WEIGHTS in analytics.ts. Q1: pctElapsed=20.7%, projectFactor=4.84.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r>
              <w:rPr>
                <w:b/>
                <w:color w:val="1E293B"/>
                <w:sz w:val="18"/>
              </w:rPr>
              <w:t>Scheme engine</w:t>
            </w:r>
          </w:p>
        </w:tc>
        <w:tc>
          <w:tcPr>
            <w:tcW w:type="dxa" w:w="7087"/>
            <w:shd w:val="clear" w:color="auto" w:fill="FFFFFF"/>
          </w:tcPr>
          <w:p>
            <w:r>
              <w:rPr>
                <w:b w:val="0"/>
                <w:color w:val="374151"/>
                <w:sz w:val="18"/>
              </w:rPr>
              <w:t>Uses group_raw (not group_canon) in SQL for scheme threshold checks. Dues check has graceful fallback. Q1 control total verified exact.</w:t>
            </w:r>
          </w:p>
        </w:tc>
      </w:tr>
    </w:tbl>
    <w:p>
      <w:pPr>
        <w:spacing w:after="80"/>
      </w:pPr>
    </w:p>
    <w:p>
      <w:pPr>
        <w:spacing w:before="160" w:after="60"/>
      </w:pPr>
      <w:r>
        <w:rPr>
          <w:b/>
          <w:color w:val="1E3A5F"/>
          <w:sz w:val="22"/>
        </w:rPr>
        <w:t>4.3 Achievement and Band Display Rules</w:t>
      </w:r>
    </w:p>
    <w:p>
      <w:pPr>
        <w:pStyle w:val="ListBullet"/>
        <w:spacing w:after="40"/>
        <w:ind w:left="283"/>
      </w:pPr>
      <w:r>
        <w:rPr>
          <w:b/>
          <w:color w:val="1D4ED8"/>
          <w:sz w:val="19"/>
        </w:rPr>
        <w:t xml:space="preserve">hasSecondaryData gate: </w:t>
      </w:r>
      <w:r>
        <w:rPr>
          <w:color w:val="374151"/>
          <w:sz w:val="19"/>
        </w:rPr>
        <w:t>hasSecondaryData = (secondarySource === 'state_head_dashboard') OR ordersAvailable. When false, ALL secondary-dependent columns show '—', NEVER 0%.</w:t>
      </w:r>
    </w:p>
    <w:p>
      <w:pPr>
        <w:pStyle w:val="ListBullet"/>
        <w:spacing w:after="40"/>
        <w:ind w:left="283"/>
      </w:pPr>
      <w:r>
        <w:rPr>
          <w:b/>
          <w:color w:val="1D4ED8"/>
          <w:sz w:val="19"/>
        </w:rPr>
        <w:t xml:space="preserve">No-target members: </w:t>
      </w:r>
      <w:r>
        <w:rPr>
          <w:color w:val="374151"/>
          <w:sz w:val="19"/>
        </w:rPr>
        <w:t>band='noTarget' → fmtPct(null) = '—', BandChip shows 'No Target'. Never displays 0%.</w:t>
      </w:r>
    </w:p>
    <w:p>
      <w:pPr>
        <w:pStyle w:val="ListBullet"/>
        <w:spacing w:after="40"/>
        <w:ind w:left="283"/>
      </w:pPr>
      <w:r>
        <w:rPr>
          <w:b/>
          <w:color w:val="1D4ED8"/>
          <w:sz w:val="19"/>
        </w:rPr>
        <w:t xml:space="preserve">Future months: </w:t>
      </w:r>
      <w:r>
        <w:rPr>
          <w:color w:val="374151"/>
          <w:sz w:val="19"/>
        </w:rPr>
        <w:t>not_yet_recorded=true for months not yet entered by state heads. UI shows 'Not recorded' — never 0%.</w:t>
      </w:r>
    </w:p>
    <w:p>
      <w:pPr>
        <w:pStyle w:val="ListBullet"/>
        <w:spacing w:after="40"/>
        <w:ind w:left="283"/>
      </w:pPr>
      <w:r>
        <w:rPr>
          <w:b/>
          <w:color w:val="1D4ED8"/>
          <w:sz w:val="19"/>
        </w:rPr>
        <w:t xml:space="preserve">Open month: </w:t>
      </w:r>
      <w:r>
        <w:rPr>
          <w:color w:val="374151"/>
          <w:sz w:val="19"/>
        </w:rPr>
        <w:t>openFiscalMonthsInPeriod() detects the current open month. Amber 'in progress' banner shown; YoY figures marked provisional.</w:t>
      </w:r>
    </w:p>
    <w:p>
      <w:pPr>
        <w:spacing w:before="160" w:after="60"/>
      </w:pPr>
      <w:r>
        <w:rPr>
          <w:b/>
          <w:color w:val="1E3A5F"/>
          <w:sz w:val="22"/>
        </w:rPr>
        <w:t>4.4 Secondary Data Calculation Rules</w:t>
      </w:r>
    </w:p>
    <w:p>
      <w:pPr>
        <w:pStyle w:val="ListBullet"/>
        <w:spacing w:after="40"/>
        <w:ind w:left="283"/>
      </w:pPr>
      <w:r>
        <w:rPr>
          <w:b/>
          <w:color w:val="1D4ED8"/>
          <w:sz w:val="19"/>
        </w:rPr>
        <w:t xml:space="preserve">YTD null-gate pattern: </w:t>
      </w:r>
      <w:r>
        <w:rPr>
          <w:color w:val="374151"/>
          <w:sz w:val="19"/>
        </w:rPr>
        <w:t>ytdSalesReceived/ytdSalesSum must NEVER be gated on ytdHasData or plan &gt; 0. Gross total and achievement ratio are computed separately: all received / positive-plan-only denominators.</w:t>
      </w:r>
    </w:p>
    <w:p>
      <w:pPr>
        <w:pStyle w:val="ListBullet"/>
        <w:spacing w:after="40"/>
        <w:ind w:left="283"/>
      </w:pPr>
      <w:r>
        <w:rPr>
          <w:b/>
          <w:color w:val="1D4ED8"/>
          <w:sz w:val="19"/>
        </w:rPr>
        <w:t xml:space="preserve">ytdSalesSum symmetry: </w:t>
      </w:r>
      <w:r>
        <w:rPr>
          <w:color w:val="374151"/>
          <w:sz w:val="19"/>
        </w:rPr>
        <w:t>ytdSalesSum is symmetric — no !isLeft guard. All members (including departed) contribute to total received.</w:t>
      </w:r>
    </w:p>
    <w:p>
      <w:pPr>
        <w:pStyle w:val="ListBullet"/>
        <w:spacing w:after="40"/>
        <w:ind w:left="283"/>
      </w:pPr>
      <w:r>
        <w:rPr>
          <w:b/>
          <w:color w:val="1D4ED8"/>
          <w:sz w:val="19"/>
        </w:rPr>
        <w:t xml:space="preserve">FY23-24 combined tab: </w:t>
      </w:r>
      <w:r>
        <w:rPr>
          <w:color w:val="374151"/>
          <w:sz w:val="19"/>
        </w:rPr>
        <w:t>FY2023-24 secondary combined tab (16,533 rows / ₹40.6 Cr / ₹105.3 M) is NOT a duplicate of monthly tabs. Treat as separate, additive reconciling total.</w:t>
      </w:r>
    </w:p>
    <w:p>
      <w:pPr>
        <w:pStyle w:val="ListBullet"/>
        <w:spacing w:after="40"/>
        <w:ind w:left="283"/>
      </w:pPr>
      <w:r>
        <w:rPr>
          <w:b/>
          <w:color w:val="1D4ED8"/>
          <w:sz w:val="19"/>
        </w:rPr>
        <w:t xml:space="preserve">Coverage calculation: </w:t>
      </w:r>
      <w:r>
        <w:rPr>
          <w:color w:val="374151"/>
          <w:sz w:val="19"/>
        </w:rPr>
        <w:t>Salesperson coverage: secondary/primary ratio for complete months only. Complete months = Apr–Jun (Q1). Do not include July (open) in either numerator or denominator.</w:t>
      </w:r>
    </w:p>
    <w:p>
      <w:r>
        <w:br w:type="page"/>
      </w:r>
    </w:p>
    <w:p>
      <w:pPr>
        <w:spacing w:before="200" w:after="40"/>
      </w:pPr>
      <w:r>
        <w:rPr>
          <w:b/>
          <w:color w:val="991B1B"/>
          <w:sz w:val="26"/>
        </w:rPr>
        <w:t>5. Ingestion Guardrails</w:t>
      </w:r>
    </w:p>
    <w:p>
      <w:pPr>
        <w:spacing w:before="0" w:after="80"/>
      </w:pPr>
      <w:r>
        <w:rPr>
          <w:i/>
          <w:color w:val="64748B"/>
          <w:sz w:val="18"/>
        </w:rPr>
        <w:t>All must pass or insert is blocked</w:t>
      </w:r>
    </w:p>
    <w:p>
      <w:pPr>
        <w:spacing w:before="60" w:after="60"/>
        <w:pBdr>
          <w:bottom w:val="single" w:sz="4" w:space="1" w:color="991B1B"/>
        </w:pBdr>
      </w:pPr>
    </w:p>
    <w:p>
      <w:pPr>
        <w:spacing w:after="120"/>
      </w:pPr>
      <w:r>
        <w:rPr>
          <w:color w:val="374151"/>
          <w:sz w:val="19"/>
        </w:rPr>
        <w:t>These guardrails run before every INSERT into sale_line (both xlsx backfill and live Sheets sync). A failure in any single guardrail writes ingest_run.status='fail' and blocks the entire insert. No partial inserts are permitted.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4873"/>
        <w:gridCol w:w="4873"/>
      </w:tblGrid>
      <w:tr>
        <w:tc>
          <w:tcPr>
            <w:tcW w:type="dxa" w:w="2551"/>
            <w:shd w:val="clear" w:color="auto" w:fill="991B1B"/>
          </w:tcPr>
          <w:p>
            <w:r>
              <w:rPr>
                <w:b/>
                <w:color w:val="FFFFFF"/>
                <w:sz w:val="18"/>
              </w:rPr>
              <w:t>Guardrail</w:t>
            </w:r>
          </w:p>
        </w:tc>
        <w:tc>
          <w:tcPr>
            <w:tcW w:type="dxa" w:w="7087"/>
            <w:shd w:val="clear" w:color="auto" w:fill="991B1B"/>
          </w:tcPr>
          <w:p>
            <w:r>
              <w:rPr>
                <w:b/>
                <w:color w:val="FFFFFF"/>
                <w:sz w:val="18"/>
              </w:rPr>
              <w:t>Rule</w:t>
            </w:r>
          </w:p>
        </w:tc>
      </w:tr>
      <w:tr>
        <w:tc>
          <w:tcPr>
            <w:tcW w:type="dxa" w:w="2551"/>
            <w:shd w:val="clear" w:color="auto" w:fill="F8FAFC"/>
          </w:tcPr>
          <w:p>
            <w:r>
              <w:rPr>
                <w:b/>
                <w:color w:val="1E293B"/>
                <w:sz w:val="18"/>
              </w:rPr>
              <w:t>G1 — Row count</w:t>
            </w:r>
          </w:p>
        </w:tc>
        <w:tc>
          <w:tcPr>
            <w:tcW w:type="dxa" w:w="7087"/>
            <w:shd w:val="clear" w:color="auto" w:fill="F8FAFC"/>
          </w:tcPr>
          <w:p>
            <w:r>
              <w:rPr>
                <w:b w:val="0"/>
                <w:color w:val="374151"/>
                <w:sz w:val="18"/>
              </w:rPr>
              <w:t>Actual row count must be within ±2% of expected count in config/expected_counts.json per FY. Detects truncated reads or missing sheets.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r>
              <w:rPr>
                <w:b/>
                <w:color w:val="1E293B"/>
                <w:sz w:val="18"/>
              </w:rPr>
              <w:t>G2 — Unmapped groups</w:t>
            </w:r>
          </w:p>
        </w:tc>
        <w:tc>
          <w:tcPr>
            <w:tcW w:type="dxa" w:w="7087"/>
            <w:shd w:val="clear" w:color="auto" w:fill="FFFFFF"/>
          </w:tcPr>
          <w:p>
            <w:r>
              <w:rPr>
                <w:b w:val="0"/>
                <w:color w:val="374151"/>
                <w:sz w:val="18"/>
              </w:rPr>
              <w:t>Zero tolerance. Every product code must map to a canonical product group via config/group_map.json. Any unmapped code → FAIL.</w:t>
            </w:r>
          </w:p>
        </w:tc>
      </w:tr>
      <w:tr>
        <w:tc>
          <w:tcPr>
            <w:tcW w:type="dxa" w:w="2551"/>
            <w:shd w:val="clear" w:color="auto" w:fill="F8FAFC"/>
          </w:tcPr>
          <w:p>
            <w:r>
              <w:rPr>
                <w:b/>
                <w:color w:val="1E293B"/>
                <w:sz w:val="18"/>
              </w:rPr>
              <w:t>G3 — Sum consistency</w:t>
            </w:r>
          </w:p>
        </w:tc>
        <w:tc>
          <w:tcPr>
            <w:tcW w:type="dxa" w:w="7087"/>
            <w:shd w:val="clear" w:color="auto" w:fill="F8FAFC"/>
          </w:tcPr>
          <w:p>
            <w:r>
              <w:rPr>
                <w:b w:val="0"/>
                <w:color w:val="374151"/>
                <w:sz w:val="18"/>
              </w:rPr>
              <w:t>Sum of amount column must match the control total within ±1 rupee. Detects row drops or arithmetic errors.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r>
              <w:rPr>
                <w:b/>
                <w:color w:val="1E293B"/>
                <w:sz w:val="18"/>
              </w:rPr>
              <w:t>G4 — No negative amounts</w:t>
            </w:r>
          </w:p>
        </w:tc>
        <w:tc>
          <w:tcPr>
            <w:tcW w:type="dxa" w:w="7087"/>
            <w:shd w:val="clear" w:color="auto" w:fill="FFFFFF"/>
          </w:tcPr>
          <w:p>
            <w:r>
              <w:rPr>
                <w:b w:val="0"/>
                <w:color w:val="374151"/>
                <w:sz w:val="18"/>
              </w:rPr>
              <w:t>No row may have amount &lt; 0. Credit notes handled separately (flagged, not negated in-place).</w:t>
            </w:r>
          </w:p>
        </w:tc>
      </w:tr>
      <w:tr>
        <w:tc>
          <w:tcPr>
            <w:tcW w:type="dxa" w:w="2551"/>
            <w:shd w:val="clear" w:color="auto" w:fill="F8FAFC"/>
          </w:tcPr>
          <w:p>
            <w:r>
              <w:rPr>
                <w:b/>
                <w:color w:val="1E293B"/>
                <w:sz w:val="18"/>
              </w:rPr>
              <w:t>ALL PASS</w:t>
            </w:r>
          </w:p>
        </w:tc>
        <w:tc>
          <w:tcPr>
            <w:tcW w:type="dxa" w:w="7087"/>
            <w:shd w:val="clear" w:color="auto" w:fill="F8FAFC"/>
          </w:tcPr>
          <w:p>
            <w:r>
              <w:rPr>
                <w:b w:val="0"/>
                <w:color w:val="374151"/>
                <w:sz w:val="18"/>
              </w:rPr>
              <w:t>ingest_run.status='ok'. Rows inserted via INSERT ON CONFLICT DO NOTHING. Counters: rows_read, rows_inserted, rows_skipped logged.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r>
              <w:rPr>
                <w:b/>
                <w:color w:val="1E293B"/>
                <w:sz w:val="18"/>
              </w:rPr>
              <w:t>ANY FAIL</w:t>
            </w:r>
          </w:p>
        </w:tc>
        <w:tc>
          <w:tcPr>
            <w:tcW w:type="dxa" w:w="7087"/>
            <w:shd w:val="clear" w:color="auto" w:fill="FFFFFF"/>
          </w:tcPr>
          <w:p>
            <w:r>
              <w:rPr>
                <w:b w:val="0"/>
                <w:color w:val="374151"/>
                <w:sz w:val="18"/>
              </w:rPr>
              <w:t>ingest_run.status='fail'. unmapped and assertions fields populated with diagnostic JSON. INSERT BLOCKED. Prior data in DB unchanged.</w:t>
            </w:r>
          </w:p>
        </w:tc>
      </w:tr>
    </w:tbl>
    <w:p>
      <w:pPr>
        <w:spacing w:after="80"/>
      </w:pPr>
    </w:p>
    <w:p>
      <w:pPr>
        <w:spacing w:before="60" w:after="120"/>
        <w:ind w:left="227" w:right="227"/>
      </w:pPr>
      <w:r>
        <w:rPr>
          <w:i/>
          <w:color w:val="92400E"/>
          <w:sz w:val="18"/>
        </w:rPr>
        <w:t xml:space="preserve">  Note: Config files (group_map.json, normalize.json, expected_counts.json) must be statically imported so esbuild bundles them — never read with fs.readFileSync(process.cwd()) in production.</w:t>
      </w:r>
    </w:p>
    <w:p>
      <w:r>
        <w:br w:type="page"/>
      </w:r>
    </w:p>
    <w:p>
      <w:pPr>
        <w:spacing w:before="200" w:after="40"/>
      </w:pPr>
      <w:r>
        <w:rPr>
          <w:b/>
          <w:color w:val="4C1D95"/>
          <w:sz w:val="26"/>
        </w:rPr>
        <w:t>6. Audit Engine</w:t>
      </w:r>
    </w:p>
    <w:p>
      <w:pPr>
        <w:spacing w:before="0" w:after="80"/>
      </w:pPr>
      <w:r>
        <w:rPr>
          <w:i/>
          <w:color w:val="64748B"/>
          <w:sz w:val="18"/>
        </w:rPr>
        <w:t>GET /api/audit — 11 check groups, downloadable Excel report</w:t>
      </w:r>
    </w:p>
    <w:p>
      <w:pPr>
        <w:spacing w:before="60" w:after="60"/>
        <w:pBdr>
          <w:bottom w:val="single" w:sz="4" w:space="1" w:color="4C1D95"/>
        </w:pBdr>
      </w:pP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4873"/>
        <w:gridCol w:w="4873"/>
      </w:tblGrid>
      <w:tr>
        <w:tc>
          <w:tcPr>
            <w:tcW w:type="dxa" w:w="1984"/>
            <w:shd w:val="clear" w:color="auto" w:fill="4C1D95"/>
          </w:tcPr>
          <w:p>
            <w:r>
              <w:rPr>
                <w:b/>
                <w:color w:val="FFFFFF"/>
                <w:sz w:val="18"/>
              </w:rPr>
              <w:t>Group</w:t>
            </w:r>
          </w:p>
        </w:tc>
        <w:tc>
          <w:tcPr>
            <w:tcW w:type="dxa" w:w="7654"/>
            <w:shd w:val="clear" w:color="auto" w:fill="4C1D95"/>
          </w:tcPr>
          <w:p>
            <w:r>
              <w:rPr>
                <w:b/>
                <w:color w:val="FFFFFF"/>
                <w:sz w:val="18"/>
              </w:rPr>
              <w:t>What It Checks</w:t>
            </w:r>
          </w:p>
        </w:tc>
      </w:tr>
      <w:tr>
        <w:tc>
          <w:tcPr>
            <w:tcW w:type="dxa" w:w="1984"/>
            <w:shd w:val="clear" w:color="auto" w:fill="F8FAFC"/>
          </w:tcPr>
          <w:p>
            <w:r>
              <w:rPr>
                <w:b/>
                <w:color w:val="1E293B"/>
                <w:sz w:val="18"/>
              </w:rPr>
              <w:t>Group A+B</w:t>
            </w:r>
          </w:p>
        </w:tc>
        <w:tc>
          <w:tcPr>
            <w:tcW w:type="dxa" w:w="7654"/>
            <w:shd w:val="clear" w:color="auto" w:fill="F8FAFC"/>
          </w:tcPr>
          <w:p>
            <w:r>
              <w:rPr>
                <w:b w:val="0"/>
                <w:color w:val="374151"/>
                <w:sz w:val="18"/>
              </w:rPr>
              <w:t>Target load and achievement — RETIRED. Target Master now read-only from Sheets. Checks disabled.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r>
              <w:rPr>
                <w:b/>
                <w:color w:val="1E293B"/>
                <w:sz w:val="18"/>
              </w:rPr>
              <w:t>Group C</w:t>
            </w:r>
          </w:p>
        </w:tc>
        <w:tc>
          <w:tcPr>
            <w:tcW w:type="dxa" w:w="7654"/>
            <w:shd w:val="clear" w:color="auto" w:fill="FFFFFF"/>
          </w:tcPr>
          <w:p>
            <w:r>
              <w:rPr>
                <w:b w:val="0"/>
                <w:color w:val="374151"/>
                <w:sz w:val="18"/>
              </w:rPr>
              <w:t>C1: FY2025-26 OB (secondary, STATE HEAD basis ₹231.09 Cr). C2: FY2025-26 dispatch ₹361.14 Cr. C3: Sale ≠ OB (expected gap). C4: FY2026-27 primary OB floor check (open FY — actual must be &gt;= first-measured). C5: FY2026-27 OB (pending).</w:t>
            </w:r>
          </w:p>
        </w:tc>
      </w:tr>
      <w:tr>
        <w:tc>
          <w:tcPr>
            <w:tcW w:type="dxa" w:w="1984"/>
            <w:shd w:val="clear" w:color="auto" w:fill="F8FAFC"/>
          </w:tcPr>
          <w:p>
            <w:r>
              <w:rPr>
                <w:b/>
                <w:color w:val="1E293B"/>
                <w:sz w:val="18"/>
              </w:rPr>
              <w:t>Group D</w:t>
            </w:r>
          </w:p>
        </w:tc>
        <w:tc>
          <w:tcPr>
            <w:tcW w:type="dxa" w:w="7654"/>
            <w:shd w:val="clear" w:color="auto" w:fill="F8FAFC"/>
          </w:tcPr>
          <w:p>
            <w:r>
              <w:rPr>
                <w:b w:val="0"/>
                <w:color w:val="374151"/>
                <w:sz w:val="18"/>
              </w:rPr>
              <w:t>Per-state-head secondary OB reconciliation. Canary: Biju C.O — if BIJJU/BIJU CO does not alias-map, shows ₹0 and ~₹10 Cr vanishes from per-head views.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r>
              <w:rPr>
                <w:b/>
                <w:color w:val="1E293B"/>
                <w:sz w:val="18"/>
              </w:rPr>
              <w:t>Primary Register</w:t>
            </w:r>
          </w:p>
        </w:tc>
        <w:tc>
          <w:tcPr>
            <w:tcW w:type="dxa" w:w="7654"/>
            <w:shd w:val="clear" w:color="auto" w:fill="FFFFFF"/>
          </w:tcPr>
          <w:p>
            <w:r>
              <w:rPr>
                <w:b w:val="0"/>
                <w:color w:val="374151"/>
                <w:sz w:val="18"/>
              </w:rPr>
              <w:t>Live row count check. Closed-months dispatch check (Apr-Jun anchor ₹73.04 Cr). Fails if closed months drift — signals unauthorised data modification.</w:t>
            </w:r>
          </w:p>
        </w:tc>
      </w:tr>
      <w:tr>
        <w:tc>
          <w:tcPr>
            <w:tcW w:type="dxa" w:w="1984"/>
            <w:shd w:val="clear" w:color="auto" w:fill="F8FAFC"/>
          </w:tcPr>
          <w:p>
            <w:r>
              <w:rPr>
                <w:b/>
                <w:color w:val="1E293B"/>
                <w:sz w:val="18"/>
              </w:rPr>
              <w:t>Source Health</w:t>
            </w:r>
          </w:p>
        </w:tc>
        <w:tc>
          <w:tcPr>
            <w:tcW w:type="dxa" w:w="7654"/>
            <w:shd w:val="clear" w:color="auto" w:fill="F8FAFC"/>
          </w:tcPr>
          <w:p>
            <w:r>
              <w:rPr>
                <w:b w:val="0"/>
                <w:color w:val="374151"/>
                <w:sz w:val="18"/>
              </w:rPr>
              <w:t>8 checks — each Google Sheets source is accessible and returns non-empty data.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r>
              <w:rPr>
                <w:b/>
                <w:color w:val="1E293B"/>
                <w:sz w:val="18"/>
              </w:rPr>
              <w:t>Group 1.1</w:t>
            </w:r>
          </w:p>
        </w:tc>
        <w:tc>
          <w:tcPr>
            <w:tcW w:type="dxa" w:w="7654"/>
            <w:shd w:val="clear" w:color="auto" w:fill="FFFFFF"/>
          </w:tcPr>
          <w:p>
            <w:r>
              <w:rPr>
                <w:b w:val="0"/>
                <w:color w:val="374151"/>
                <w:sz w:val="18"/>
              </w:rPr>
              <w:t>Truncation check: Sheets reads were not truncated. Pending for secondary OB 2026-27.</w:t>
            </w:r>
          </w:p>
        </w:tc>
      </w:tr>
      <w:tr>
        <w:tc>
          <w:tcPr>
            <w:tcW w:type="dxa" w:w="1984"/>
            <w:shd w:val="clear" w:color="auto" w:fill="F8FAFC"/>
          </w:tcPr>
          <w:p>
            <w:r>
              <w:rPr>
                <w:b/>
                <w:color w:val="1E293B"/>
                <w:sz w:val="18"/>
              </w:rPr>
              <w:t>Group 7</w:t>
            </w:r>
          </w:p>
        </w:tc>
        <w:tc>
          <w:tcPr>
            <w:tcW w:type="dxa" w:w="7654"/>
            <w:shd w:val="clear" w:color="auto" w:fill="F8FAFC"/>
          </w:tcPr>
          <w:p>
            <w:r>
              <w:rPr>
                <w:b w:val="0"/>
                <w:color w:val="374151"/>
                <w:sz w:val="18"/>
              </w:rPr>
              <w:t>5 FY2025-26 cross-foots: row totals must equal column totals within ±1 rupee.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r>
              <w:rPr>
                <w:b/>
                <w:color w:val="1E293B"/>
                <w:sz w:val="18"/>
              </w:rPr>
              <w:t>Group 9</w:t>
            </w:r>
          </w:p>
        </w:tc>
        <w:tc>
          <w:tcPr>
            <w:tcW w:type="dxa" w:w="7654"/>
            <w:shd w:val="clear" w:color="auto" w:fill="FFFFFF"/>
          </w:tcPr>
          <w:p>
            <w:r>
              <w:rPr>
                <w:b w:val="0"/>
                <w:color w:val="374151"/>
                <w:sz w:val="18"/>
              </w:rPr>
              <w:t>SAP Freshness — derived register row count vs SAP source tab count for May-26. WARN if derived &gt; SAP (new dispatches not yet in SAP) or derived &lt; SAP (SAP ahead of derived).</w:t>
            </w:r>
          </w:p>
        </w:tc>
      </w:tr>
    </w:tbl>
    <w:p>
      <w:pPr>
        <w:spacing w:after="80"/>
      </w:pPr>
    </w:p>
    <w:p>
      <w:pPr>
        <w:spacing w:before="160" w:after="60"/>
      </w:pPr>
      <w:r>
        <w:rPr>
          <w:b/>
          <w:color w:val="4C1D95"/>
          <w:sz w:val="22"/>
        </w:rPr>
        <w:t>6.1 Closed-Month Anchor Rule</w:t>
      </w:r>
    </w:p>
    <w:p>
      <w:pPr>
        <w:pStyle w:val="ListBullet"/>
        <w:spacing w:after="40"/>
        <w:ind w:left="283"/>
      </w:pPr>
      <w:r>
        <w:rPr>
          <w:b/>
          <w:color w:val="1D4ED8"/>
          <w:sz w:val="19"/>
        </w:rPr>
        <w:t xml:space="preserve">Rule: </w:t>
      </w:r>
      <w:r>
        <w:rPr>
          <w:color w:val="374151"/>
          <w:sz w:val="19"/>
        </w:rPr>
        <w:t>Once a month closes, its row count and total amount become fixed anchors in verify_anchors.json. Any subsequent drift triggers audit FAIL.</w:t>
      </w:r>
    </w:p>
    <w:p>
      <w:pPr>
        <w:pStyle w:val="ListBullet"/>
        <w:spacing w:after="40"/>
        <w:ind w:left="283"/>
      </w:pPr>
      <w:r>
        <w:rPr>
          <w:b/>
          <w:color w:val="1D4ED8"/>
          <w:sz w:val="19"/>
        </w:rPr>
        <w:t xml:space="preserve">Current anchors: </w:t>
      </w:r>
      <w:r>
        <w:rPr>
          <w:color w:val="374151"/>
          <w:sz w:val="19"/>
        </w:rPr>
        <w:t>closedMonths: ['Apr-26','May-26','Jun-26']; closedMonthsTotal: 730,444,751 (₹73.04 Cr) for FY2026-27 Q1.</w:t>
      </w:r>
    </w:p>
    <w:p>
      <w:pPr>
        <w:pStyle w:val="ListBullet"/>
        <w:spacing w:after="40"/>
        <w:ind w:left="283"/>
      </w:pPr>
      <w:r>
        <w:rPr>
          <w:b/>
          <w:color w:val="1D4ED8"/>
          <w:sz w:val="19"/>
        </w:rPr>
        <w:t xml:space="preserve">How to recompute: </w:t>
      </w:r>
      <w:r>
        <w:rPr>
          <w:color w:val="374151"/>
          <w:sz w:val="19"/>
        </w:rPr>
        <w:t>Query to compute: SELECT SUM(amount) FROM sale_line WHERE fy='2026-27' AND month_label IN ('Apr-26','May-26','Jun-26','Jul-26') AND version_status='current'.</w:t>
      </w:r>
    </w:p>
    <w:p>
      <w:pPr>
        <w:pStyle w:val="ListBullet"/>
        <w:spacing w:after="40"/>
        <w:ind w:left="283"/>
      </w:pPr>
      <w:r>
        <w:rPr>
          <w:b/>
          <w:color w:val="1D4ED8"/>
          <w:sz w:val="19"/>
        </w:rPr>
        <w:t xml:space="preserve">Next action — July close: </w:t>
      </w:r>
      <w:r>
        <w:rPr>
          <w:color w:val="374151"/>
          <w:sz w:val="19"/>
        </w:rPr>
        <w:t>When July closes (on/after Aug 1 2026): add 'Jul-26' to closedMonths, update closedMonthsTotal, restart API server, confirm audit passes.</w:t>
      </w:r>
    </w:p>
    <w:p>
      <w:r>
        <w:br w:type="page"/>
      </w:r>
    </w:p>
    <w:p>
      <w:pPr>
        <w:spacing w:before="200" w:after="40"/>
      </w:pPr>
      <w:r>
        <w:rPr>
          <w:b/>
          <w:color w:val="7C2D12"/>
          <w:sz w:val="26"/>
        </w:rPr>
        <w:t>7. Month-Close Procedure</w:t>
      </w:r>
    </w:p>
    <w:p>
      <w:pPr>
        <w:spacing w:before="0" w:after="80"/>
      </w:pPr>
      <w:r>
        <w:rPr>
          <w:i/>
          <w:color w:val="64748B"/>
          <w:sz w:val="18"/>
        </w:rPr>
        <w:t>Checklist to run after each fiscal month closes</w:t>
      </w:r>
    </w:p>
    <w:p>
      <w:pPr>
        <w:spacing w:before="60" w:after="60"/>
        <w:pBdr>
          <w:bottom w:val="single" w:sz="4" w:space="1" w:color="7C2D12"/>
        </w:pBdr>
      </w:pP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4873"/>
        <w:gridCol w:w="4873"/>
      </w:tblGrid>
      <w:tr>
        <w:tc>
          <w:tcPr>
            <w:tcW w:type="dxa" w:w="2268"/>
            <w:shd w:val="clear" w:color="auto" w:fill="7C2D12"/>
          </w:tcPr>
          <w:p>
            <w:r>
              <w:rPr>
                <w:b/>
                <w:color w:val="FFFFFF"/>
                <w:sz w:val="18"/>
              </w:rPr>
              <w:t>Step</w:t>
            </w:r>
          </w:p>
        </w:tc>
        <w:tc>
          <w:tcPr>
            <w:tcW w:type="dxa" w:w="7370"/>
            <w:shd w:val="clear" w:color="auto" w:fill="7C2D12"/>
          </w:tcPr>
          <w:p>
            <w:r>
              <w:rPr>
                <w:b/>
                <w:color w:val="FFFFFF"/>
                <w:sz w:val="18"/>
              </w:rPr>
              <w:t>Action</w:t>
            </w:r>
          </w:p>
        </w:tc>
      </w:tr>
      <w:tr>
        <w:tc>
          <w:tcPr>
            <w:tcW w:type="dxa" w:w="2268"/>
            <w:shd w:val="clear" w:color="auto" w:fill="F8FAFC"/>
          </w:tcPr>
          <w:p>
            <w:r>
              <w:rPr>
                <w:b/>
                <w:color w:val="1E293B"/>
                <w:sz w:val="18"/>
              </w:rPr>
              <w:t>Step 1 — Query DB</w:t>
            </w:r>
          </w:p>
        </w:tc>
        <w:tc>
          <w:tcPr>
            <w:tcW w:type="dxa" w:w="7370"/>
            <w:shd w:val="clear" w:color="auto" w:fill="F8FAFC"/>
          </w:tcPr>
          <w:p>
            <w:r>
              <w:rPr>
                <w:b w:val="0"/>
                <w:color w:val="374151"/>
                <w:sz w:val="18"/>
              </w:rPr>
              <w:t>SELECT month_label, COUNT(*), SUM(amount) FROM sale_line WHERE fy='2026-27' AND month_label IN ('Apr-26','May-26','Jun-26','Jul-26') AND version_status='current' GROUP BY month_label. Note row counts and totals.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>
              <w:rPr>
                <w:b/>
                <w:color w:val="1E293B"/>
                <w:sz w:val="18"/>
              </w:rPr>
              <w:t>Step 2 — Update anchor</w:t>
            </w:r>
          </w:p>
        </w:tc>
        <w:tc>
          <w:tcPr>
            <w:tcW w:type="dxa" w:w="7370"/>
            <w:shd w:val="clear" w:color="auto" w:fill="FFFFFF"/>
          </w:tcPr>
          <w:p>
            <w:r>
              <w:rPr>
                <w:b w:val="0"/>
                <w:color w:val="374151"/>
                <w:sz w:val="18"/>
              </w:rPr>
              <w:t>Add the closing month to primary_anchors['2026-27'].closedMonths in verify_anchors.json. Set closedMonthsTotal = grand total from Step 1.</w:t>
            </w:r>
          </w:p>
        </w:tc>
      </w:tr>
      <w:tr>
        <w:tc>
          <w:tcPr>
            <w:tcW w:type="dxa" w:w="2268"/>
            <w:shd w:val="clear" w:color="auto" w:fill="F8FAFC"/>
          </w:tcPr>
          <w:p>
            <w:r>
              <w:rPr>
                <w:b/>
                <w:color w:val="1E293B"/>
                <w:sz w:val="18"/>
              </w:rPr>
              <w:t>Step 3 — Update note</w:t>
            </w:r>
          </w:p>
        </w:tc>
        <w:tc>
          <w:tcPr>
            <w:tcW w:type="dxa" w:w="7370"/>
            <w:shd w:val="clear" w:color="auto" w:fill="F8FAFC"/>
          </w:tcPr>
          <w:p>
            <w:r>
              <w:rPr>
                <w:b w:val="0"/>
                <w:color w:val="374151"/>
                <w:sz w:val="18"/>
              </w:rPr>
              <w:t>Update closedMonthsNote with new row counts per month: format 'Apr=NNNN rows Rs X Cr; May=...; total Rs Y Cr'.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>
              <w:rPr>
                <w:b/>
                <w:color w:val="1E293B"/>
                <w:sz w:val="18"/>
              </w:rPr>
              <w:t>Step 4 — Restart server</w:t>
            </w:r>
          </w:p>
        </w:tc>
        <w:tc>
          <w:tcPr>
            <w:tcW w:type="dxa" w:w="7370"/>
            <w:shd w:val="clear" w:color="auto" w:fill="FFFFFF"/>
          </w:tcPr>
          <w:p>
            <w:r>
              <w:rPr>
                <w:b w:val="0"/>
                <w:color w:val="374151"/>
                <w:sz w:val="18"/>
              </w:rPr>
              <w:t>Restart the API Server workflow to pick up new config (esbuild statically bundles verify_anchors.json at startup).</w:t>
            </w:r>
          </w:p>
        </w:tc>
      </w:tr>
      <w:tr>
        <w:tc>
          <w:tcPr>
            <w:tcW w:type="dxa" w:w="2268"/>
            <w:shd w:val="clear" w:color="auto" w:fill="F8FAFC"/>
          </w:tcPr>
          <w:p>
            <w:r>
              <w:rPr>
                <w:b/>
                <w:color w:val="1E293B"/>
                <w:sz w:val="18"/>
              </w:rPr>
              <w:t>Step 5 — Run audit</w:t>
            </w:r>
          </w:p>
        </w:tc>
        <w:tc>
          <w:tcPr>
            <w:tcW w:type="dxa" w:w="7370"/>
            <w:shd w:val="clear" w:color="auto" w:fill="F8FAFC"/>
          </w:tcPr>
          <w:p>
            <w:r>
              <w:rPr>
                <w:b w:val="0"/>
                <w:color w:val="374151"/>
                <w:sz w:val="18"/>
              </w:rPr>
              <w:t>GET /api/audit. Confirm Primary Sale Register group shows PASS. Group 9 SAP Freshness should show PASS or WARN (not FAIL).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>
              <w:rPr>
                <w:b/>
                <w:color w:val="1E293B"/>
                <w:sz w:val="18"/>
              </w:rPr>
              <w:t>Step 6 — Secondary</w:t>
            </w:r>
          </w:p>
        </w:tc>
        <w:tc>
          <w:tcPr>
            <w:tcW w:type="dxa" w:w="7370"/>
            <w:shd w:val="clear" w:color="auto" w:fill="FFFFFF"/>
          </w:tcPr>
          <w:p>
            <w:r>
              <w:rPr>
                <w:b w:val="0"/>
                <w:color w:val="374151"/>
                <w:sz w:val="18"/>
              </w:rPr>
              <w:t>Secondary auto-updates on next loadStateDashboard('2026-27') call once state heads have entered the closing month's figures in STATE HEAD DASHBOARD.</w:t>
            </w:r>
          </w:p>
        </w:tc>
      </w:tr>
      <w:tr>
        <w:tc>
          <w:tcPr>
            <w:tcW w:type="dxa" w:w="2268"/>
            <w:shd w:val="clear" w:color="auto" w:fill="F8FAFC"/>
          </w:tcPr>
          <w:p>
            <w:r>
              <w:rPr>
                <w:b/>
                <w:color w:val="1E293B"/>
                <w:sz w:val="18"/>
              </w:rPr>
              <w:t>Step 7 — Verify months</w:t>
            </w:r>
          </w:p>
        </w:tc>
        <w:tc>
          <w:tcPr>
            <w:tcW w:type="dxa" w:w="7370"/>
            <w:shd w:val="clear" w:color="auto" w:fill="F8FAFC"/>
          </w:tcPr>
          <w:p>
            <w:r>
              <w:rPr>
                <w:b w:val="0"/>
                <w:color w:val="374151"/>
                <w:sz w:val="18"/>
              </w:rPr>
              <w:t>GET /api/customers/months?fy=2026-27. Confirm closing month moved from partialMonths to completeMonths. No code change needed.</w:t>
            </w:r>
          </w:p>
        </w:tc>
      </w:tr>
    </w:tbl>
    <w:p>
      <w:pPr>
        <w:spacing w:after="80"/>
      </w:pPr>
    </w:p>
    <w:p>
      <w:pPr>
        <w:spacing w:before="60" w:after="120"/>
        <w:ind w:left="227" w:right="227"/>
      </w:pPr>
      <w:r>
        <w:rPr>
          <w:i/>
          <w:color w:val="92400E"/>
          <w:sz w:val="18"/>
        </w:rPr>
        <w:t xml:space="preserve">  Note: No code changes are needed for a normal month-close. The calendar-based isMonthClosed and isMonthComplete mechanisms handle the flip automatically.</w:t>
      </w:r>
    </w:p>
    <w:p>
      <w:r>
        <w:br w:type="page"/>
      </w:r>
    </w:p>
    <w:p>
      <w:pPr>
        <w:spacing w:before="200" w:after="40"/>
      </w:pPr>
      <w:r>
        <w:rPr>
          <w:b/>
          <w:color w:val="1E3A5F"/>
          <w:sz w:val="26"/>
        </w:rPr>
        <w:t>8. Verified Baselines and Control Totals</w:t>
      </w:r>
    </w:p>
    <w:p>
      <w:pPr>
        <w:spacing w:before="0" w:after="80"/>
      </w:pPr>
      <w:r>
        <w:rPr>
          <w:i/>
          <w:color w:val="64748B"/>
          <w:sz w:val="18"/>
        </w:rPr>
        <w:t>Cross-check if something looks wrong</w:t>
      </w:r>
    </w:p>
    <w:p>
      <w:pPr>
        <w:spacing w:before="60" w:after="60"/>
        <w:pBdr>
          <w:bottom w:val="single" w:sz="4" w:space="1" w:color="1E3A5F"/>
        </w:pBdr>
      </w:pP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4873"/>
        <w:gridCol w:w="4873"/>
      </w:tblGrid>
      <w:tr>
        <w:tc>
          <w:tcPr>
            <w:tcW w:type="dxa" w:w="3118"/>
            <w:shd w:val="clear" w:color="auto" w:fill="1E3A5F"/>
          </w:tcPr>
          <w:p>
            <w:r>
              <w:rPr>
                <w:b/>
                <w:color w:val="FFFFFF"/>
                <w:sz w:val="18"/>
              </w:rPr>
              <w:t>Metric</w:t>
            </w:r>
          </w:p>
        </w:tc>
        <w:tc>
          <w:tcPr>
            <w:tcW w:type="dxa" w:w="6520"/>
            <w:shd w:val="clear" w:color="auto" w:fill="1E3A5F"/>
          </w:tcPr>
          <w:p>
            <w:r>
              <w:rPr>
                <w:b/>
                <w:color w:val="FFFFFF"/>
                <w:sz w:val="18"/>
              </w:rPr>
              <w:t>Value and Notes</w:t>
            </w:r>
          </w:p>
        </w:tc>
      </w:tr>
      <w:tr>
        <w:tc>
          <w:tcPr>
            <w:tcW w:type="dxa" w:w="3118"/>
            <w:shd w:val="clear" w:color="auto" w:fill="F8FAFC"/>
          </w:tcPr>
          <w:p>
            <w:r>
              <w:rPr>
                <w:b/>
                <w:color w:val="1E293B"/>
                <w:sz w:val="18"/>
              </w:rPr>
              <w:t>FY2024-25 primary (DB total)</w:t>
            </w:r>
          </w:p>
        </w:tc>
        <w:tc>
          <w:tcPr>
            <w:tcW w:type="dxa" w:w="6520"/>
            <w:shd w:val="clear" w:color="auto" w:fill="F8FAFC"/>
          </w:tcPr>
          <w:p>
            <w:r>
              <w:rPr>
                <w:b w:val="0"/>
                <w:color w:val="374151"/>
                <w:sz w:val="18"/>
              </w:rPr>
              <w:t>₹341.14 Cr — matches anchor to rounding.</w:t>
            </w:r>
          </w:p>
        </w:tc>
      </w:tr>
      <w:tr>
        <w:tc>
          <w:tcPr>
            <w:tcW w:type="dxa" w:w="3118"/>
            <w:shd w:val="clear" w:color="auto" w:fill="FFFFFF"/>
          </w:tcPr>
          <w:p>
            <w:r>
              <w:rPr>
                <w:b/>
                <w:color w:val="1E293B"/>
                <w:sz w:val="18"/>
              </w:rPr>
              <w:t>FY2025-26 primary (DB total)</w:t>
            </w:r>
          </w:p>
        </w:tc>
        <w:tc>
          <w:tcPr>
            <w:tcW w:type="dxa" w:w="6520"/>
            <w:shd w:val="clear" w:color="auto" w:fill="FFFFFF"/>
          </w:tcPr>
          <w:p>
            <w:r>
              <w:rPr>
                <w:b w:val="0"/>
                <w:color w:val="374151"/>
                <w:sz w:val="18"/>
              </w:rPr>
              <w:t>₹359.52 Cr — ₹1.62 Cr / 0.45% below ₹361.14 Cr anchor. Within 1% materiality bar. Accepted and closed.</w:t>
            </w:r>
          </w:p>
        </w:tc>
      </w:tr>
      <w:tr>
        <w:tc>
          <w:tcPr>
            <w:tcW w:type="dxa" w:w="3118"/>
            <w:shd w:val="clear" w:color="auto" w:fill="F8FAFC"/>
          </w:tcPr>
          <w:p>
            <w:r>
              <w:rPr>
                <w:b/>
                <w:color w:val="1E293B"/>
                <w:sz w:val="18"/>
              </w:rPr>
              <w:t>FY2025-26 top state head</w:t>
            </w:r>
          </w:p>
        </w:tc>
        <w:tc>
          <w:tcPr>
            <w:tcW w:type="dxa" w:w="6520"/>
            <w:shd w:val="clear" w:color="auto" w:fill="F8FAFC"/>
          </w:tcPr>
          <w:p>
            <w:r>
              <w:rPr>
                <w:b w:val="0"/>
                <w:color w:val="374151"/>
                <w:sz w:val="18"/>
              </w:rPr>
              <w:t>Sandeep Dadheech: ₹164.22 Cr (45.5% of FY25-26 total).</w:t>
            </w:r>
          </w:p>
        </w:tc>
      </w:tr>
      <w:tr>
        <w:tc>
          <w:tcPr>
            <w:tcW w:type="dxa" w:w="3118"/>
            <w:shd w:val="clear" w:color="auto" w:fill="FFFFFF"/>
          </w:tcPr>
          <w:p>
            <w:r>
              <w:rPr>
                <w:b/>
                <w:color w:val="1E293B"/>
                <w:sz w:val="18"/>
              </w:rPr>
              <w:t>FY2025-26 secondary (STATE HEAD)</w:t>
            </w:r>
          </w:p>
        </w:tc>
        <w:tc>
          <w:tcPr>
            <w:tcW w:type="dxa" w:w="6520"/>
            <w:shd w:val="clear" w:color="auto" w:fill="FFFFFF"/>
          </w:tcPr>
          <w:p>
            <w:r>
              <w:rPr>
                <w:b w:val="0"/>
                <w:color w:val="374151"/>
                <w:sz w:val="18"/>
              </w:rPr>
              <w:t>₹231.09 Cr net Sub Total. Retired transaction-file basis ₹240.14 Cr is historical only — must not be used as anchor.</w:t>
            </w:r>
          </w:p>
        </w:tc>
      </w:tr>
      <w:tr>
        <w:tc>
          <w:tcPr>
            <w:tcW w:type="dxa" w:w="3118"/>
            <w:shd w:val="clear" w:color="auto" w:fill="F8FAFC"/>
          </w:tcPr>
          <w:p>
            <w:r>
              <w:rPr>
                <w:b/>
                <w:color w:val="1E293B"/>
                <w:sz w:val="18"/>
              </w:rPr>
              <w:t>FY2025-26 secondary members/plan</w:t>
            </w:r>
          </w:p>
        </w:tc>
        <w:tc>
          <w:tcPr>
            <w:tcW w:type="dxa" w:w="6520"/>
            <w:shd w:val="clear" w:color="auto" w:fill="F8FAFC"/>
          </w:tcPr>
          <w:p>
            <w:r>
              <w:rPr>
                <w:b w:val="0"/>
                <w:color w:val="374151"/>
                <w:sz w:val="18"/>
              </w:rPr>
              <w:t>216 members, plan ₹379.75 Cr, salesReceived ₹240.14 Cr, ytdAchievement 68.1%. Frozen in DB.</w:t>
            </w:r>
          </w:p>
        </w:tc>
      </w:tr>
      <w:tr>
        <w:tc>
          <w:tcPr>
            <w:tcW w:type="dxa" w:w="3118"/>
            <w:shd w:val="clear" w:color="auto" w:fill="FFFFFF"/>
          </w:tcPr>
          <w:p>
            <w:r>
              <w:rPr>
                <w:b/>
                <w:color w:val="1E293B"/>
                <w:sz w:val="18"/>
              </w:rPr>
              <w:t>FY2026-27 Q1 primary (closed months)</w:t>
            </w:r>
          </w:p>
        </w:tc>
        <w:tc>
          <w:tcPr>
            <w:tcW w:type="dxa" w:w="6520"/>
            <w:shd w:val="clear" w:color="auto" w:fill="FFFFFF"/>
          </w:tcPr>
          <w:p>
            <w:r>
              <w:rPr>
                <w:b w:val="0"/>
                <w:color w:val="374151"/>
                <w:sz w:val="18"/>
              </w:rPr>
              <w:t>₹73.04 Cr (730,444,751). Apr: 5,542 rows ₹13.11 Cr; May: 11,925 rows ₹28.38 Cr; Jun: 12,997 rows ₹31.56 Cr.</w:t>
            </w:r>
          </w:p>
        </w:tc>
      </w:tr>
      <w:tr>
        <w:tc>
          <w:tcPr>
            <w:tcW w:type="dxa" w:w="3118"/>
            <w:shd w:val="clear" w:color="auto" w:fill="F8FAFC"/>
          </w:tcPr>
          <w:p>
            <w:r>
              <w:rPr>
                <w:b/>
                <w:color w:val="1E293B"/>
                <w:sz w:val="18"/>
              </w:rPr>
              <w:t>FY2026-27 Q1 distinct customers</w:t>
            </w:r>
          </w:p>
        </w:tc>
        <w:tc>
          <w:tcPr>
            <w:tcW w:type="dxa" w:w="6520"/>
            <w:shd w:val="clear" w:color="auto" w:fill="F8FAFC"/>
          </w:tcPr>
          <w:p>
            <w:r>
              <w:rPr>
                <w:b w:val="0"/>
                <w:color w:val="374151"/>
                <w:sz w:val="18"/>
              </w:rPr>
              <w:t>439 distinct customers in Q1 primary register.</w:t>
            </w:r>
          </w:p>
        </w:tc>
      </w:tr>
      <w:tr>
        <w:tc>
          <w:tcPr>
            <w:tcW w:type="dxa" w:w="3118"/>
            <w:shd w:val="clear" w:color="auto" w:fill="FFFFFF"/>
          </w:tcPr>
          <w:p>
            <w:r>
              <w:rPr>
                <w:b/>
                <w:color w:val="1E293B"/>
                <w:sz w:val="18"/>
              </w:rPr>
              <w:t>FY2026-27 Q1 invoices</w:t>
            </w:r>
          </w:p>
        </w:tc>
        <w:tc>
          <w:tcPr>
            <w:tcW w:type="dxa" w:w="6520"/>
            <w:shd w:val="clear" w:color="auto" w:fill="FFFFFF"/>
          </w:tcPr>
          <w:p>
            <w:r>
              <w:rPr>
                <w:b w:val="0"/>
                <w:color w:val="374151"/>
                <w:sz w:val="18"/>
              </w:rPr>
              <w:t>5,714 distinct invoices in Q1.</w:t>
            </w:r>
          </w:p>
        </w:tc>
      </w:tr>
      <w:tr>
        <w:tc>
          <w:tcPr>
            <w:tcW w:type="dxa" w:w="3118"/>
            <w:shd w:val="clear" w:color="auto" w:fill="F8FAFC"/>
          </w:tcPr>
          <w:p>
            <w:r>
              <w:rPr>
                <w:b/>
                <w:color w:val="1E293B"/>
                <w:sz w:val="18"/>
              </w:rPr>
              <w:t>FY2026-27 Q1 primary DB total</w:t>
            </w:r>
          </w:p>
        </w:tc>
        <w:tc>
          <w:tcPr>
            <w:tcW w:type="dxa" w:w="6520"/>
            <w:shd w:val="clear" w:color="auto" w:fill="F8FAFC"/>
          </w:tcPr>
          <w:p>
            <w:r>
              <w:rPr>
                <w:b w:val="0"/>
                <w:color w:val="374151"/>
                <w:sz w:val="18"/>
              </w:rPr>
              <w:t>₹73.09 Cr (730,867,205) as DB baseline at July 2026.</w:t>
            </w:r>
          </w:p>
        </w:tc>
      </w:tr>
      <w:tr>
        <w:tc>
          <w:tcPr>
            <w:tcW w:type="dxa" w:w="3118"/>
            <w:shd w:val="clear" w:color="auto" w:fill="FFFFFF"/>
          </w:tcPr>
          <w:p>
            <w:r>
              <w:rPr>
                <w:b/>
                <w:color w:val="1E293B"/>
                <w:sz w:val="18"/>
              </w:rPr>
              <w:t>FY2026-27 YoY overall</w:t>
            </w:r>
          </w:p>
        </w:tc>
        <w:tc>
          <w:tcPr>
            <w:tcW w:type="dxa" w:w="6520"/>
            <w:shd w:val="clear" w:color="auto" w:fill="FFFFFF"/>
          </w:tcPr>
          <w:p>
            <w:r>
              <w:rPr>
                <w:b w:val="0"/>
                <w:color w:val="374151"/>
                <w:sz w:val="18"/>
              </w:rPr>
              <w:t>−1.4% (comparable months Apr–Jun). With FY2025-26 fully restored anchor: −2.0%.</w:t>
            </w:r>
          </w:p>
        </w:tc>
      </w:tr>
      <w:tr>
        <w:tc>
          <w:tcPr>
            <w:tcW w:type="dxa" w:w="3118"/>
            <w:shd w:val="clear" w:color="auto" w:fill="F8FAFC"/>
          </w:tcPr>
          <w:p>
            <w:r>
              <w:rPr>
                <w:b/>
                <w:color w:val="1E293B"/>
                <w:sz w:val="18"/>
              </w:rPr>
              <w:t>FY2026-27 YoY Territory</w:t>
            </w:r>
          </w:p>
        </w:tc>
        <w:tc>
          <w:tcPr>
            <w:tcW w:type="dxa" w:w="6520"/>
            <w:shd w:val="clear" w:color="auto" w:fill="F8FAFC"/>
          </w:tcPr>
          <w:p>
            <w:r>
              <w:rPr>
                <w:b w:val="0"/>
                <w:color w:val="374151"/>
                <w:sz w:val="18"/>
              </w:rPr>
              <w:t>+8.5% (comparable months Apr–Jun). With restored anchor: +7.8%.</w:t>
            </w:r>
          </w:p>
        </w:tc>
      </w:tr>
      <w:tr>
        <w:tc>
          <w:tcPr>
            <w:tcW w:type="dxa" w:w="3118"/>
            <w:shd w:val="clear" w:color="auto" w:fill="FFFFFF"/>
          </w:tcPr>
          <w:p>
            <w:r>
              <w:rPr>
                <w:b/>
                <w:color w:val="1E293B"/>
                <w:sz w:val="18"/>
              </w:rPr>
              <w:t>FY2026-27 YoY Institutional</w:t>
            </w:r>
          </w:p>
        </w:tc>
        <w:tc>
          <w:tcPr>
            <w:tcW w:type="dxa" w:w="6520"/>
            <w:shd w:val="clear" w:color="auto" w:fill="FFFFFF"/>
          </w:tcPr>
          <w:p>
            <w:r>
              <w:rPr>
                <w:b w:val="0"/>
                <w:color w:val="374151"/>
                <w:sz w:val="18"/>
              </w:rPr>
              <w:t>−54.1% (comparable months Apr–Jun). Same with restored anchor.</w:t>
            </w:r>
          </w:p>
        </w:tc>
      </w:tr>
      <w:tr>
        <w:tc>
          <w:tcPr>
            <w:tcW w:type="dxa" w:w="3118"/>
            <w:shd w:val="clear" w:color="auto" w:fill="F8FAFC"/>
          </w:tcPr>
          <w:p>
            <w:r>
              <w:rPr>
                <w:b/>
                <w:color w:val="1E293B"/>
                <w:sz w:val="18"/>
              </w:rPr>
              <w:t>FY2026-27 State Head Achievement Q1</w:t>
            </w:r>
          </w:p>
        </w:tc>
        <w:tc>
          <w:tcPr>
            <w:tcW w:type="dxa" w:w="6520"/>
            <w:shd w:val="clear" w:color="auto" w:fill="F8FAFC"/>
          </w:tcPr>
          <w:p>
            <w:r>
              <w:rPr>
                <w:b w:val="0"/>
                <w:color w:val="374151"/>
                <w:sz w:val="18"/>
              </w:rPr>
              <w:t>74.1% secondary OB vs Q1 target.</w:t>
            </w:r>
          </w:p>
        </w:tc>
      </w:tr>
      <w:tr>
        <w:tc>
          <w:tcPr>
            <w:tcW w:type="dxa" w:w="3118"/>
            <w:shd w:val="clear" w:color="auto" w:fill="FFFFFF"/>
          </w:tcPr>
          <w:p>
            <w:r>
              <w:rPr>
                <w:b/>
                <w:color w:val="1E293B"/>
                <w:sz w:val="18"/>
              </w:rPr>
              <w:t>FY2024-25 product sales control total</w:t>
            </w:r>
          </w:p>
        </w:tc>
        <w:tc>
          <w:tcPr>
            <w:tcW w:type="dxa" w:w="6520"/>
            <w:shd w:val="clear" w:color="auto" w:fill="FFFFFF"/>
          </w:tcPr>
          <w:p>
            <w:r>
              <w:rPr>
                <w:b w:val="0"/>
                <w:color w:val="374151"/>
                <w:sz w:val="18"/>
              </w:rPr>
              <w:t>₹3,417,311,917 — from ITEM-WISE SALE tab, PRODUCT_GROUP-mapped codes only. NOT from Combined tab.</w:t>
            </w:r>
          </w:p>
        </w:tc>
      </w:tr>
      <w:tr>
        <w:tc>
          <w:tcPr>
            <w:tcW w:type="dxa" w:w="3118"/>
            <w:shd w:val="clear" w:color="auto" w:fill="F8FAFC"/>
          </w:tcPr>
          <w:p>
            <w:r>
              <w:rPr>
                <w:b/>
                <w:color w:val="1E293B"/>
                <w:sz w:val="18"/>
              </w:rPr>
              <w:t>FY2023-24 secondary order booking</w:t>
            </w:r>
          </w:p>
        </w:tc>
        <w:tc>
          <w:tcPr>
            <w:tcW w:type="dxa" w:w="6520"/>
            <w:shd w:val="clear" w:color="auto" w:fill="F8FAFC"/>
          </w:tcPr>
          <w:p>
            <w:r>
              <w:rPr>
                <w:b w:val="0"/>
                <w:color w:val="374151"/>
                <w:sz w:val="18"/>
              </w:rPr>
              <w:t>Combined tab: 16,533 rows / ₹40.6 Cr / ₹105.3 M. NOT a duplicate of monthly tabs — additive reconciling total.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spacing w:before="200" w:after="40"/>
      </w:pPr>
      <w:r>
        <w:rPr>
          <w:b/>
          <w:color w:val="7F1D1D"/>
          <w:sz w:val="26"/>
        </w:rPr>
        <w:t>9. Common Gotchas and Anti-Patterns</w:t>
      </w:r>
    </w:p>
    <w:p>
      <w:pPr>
        <w:spacing w:before="0" w:after="80"/>
      </w:pPr>
      <w:r>
        <w:rPr>
          <w:i/>
          <w:color w:val="64748B"/>
          <w:sz w:val="18"/>
        </w:rPr>
        <w:t>Things that have broken production before</w:t>
      </w:r>
    </w:p>
    <w:p>
      <w:pPr>
        <w:spacing w:before="60" w:after="60"/>
        <w:pBdr>
          <w:bottom w:val="single" w:sz="4" w:space="1" w:color="7F1D1D"/>
        </w:pBdr>
      </w:pP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4873"/>
        <w:gridCol w:w="4873"/>
      </w:tblGrid>
      <w:tr>
        <w:tc>
          <w:tcPr>
            <w:tcW w:type="dxa" w:w="2551"/>
            <w:shd w:val="clear" w:color="auto" w:fill="7F1D1D"/>
          </w:tcPr>
          <w:p>
            <w:r>
              <w:rPr>
                <w:b/>
                <w:color w:val="FFFFFF"/>
                <w:sz w:val="18"/>
              </w:rPr>
              <w:t>Anti-pattern</w:t>
            </w:r>
          </w:p>
        </w:tc>
        <w:tc>
          <w:tcPr>
            <w:tcW w:type="dxa" w:w="7087"/>
            <w:shd w:val="clear" w:color="auto" w:fill="7F1D1D"/>
          </w:tcPr>
          <w:p>
            <w:r>
              <w:rPr>
                <w:b/>
                <w:color w:val="FFFFFF"/>
                <w:sz w:val="18"/>
              </w:rPr>
              <w:t>Why It Breaks — Correct Approach</w:t>
            </w:r>
          </w:p>
        </w:tc>
      </w:tr>
      <w:tr>
        <w:tc>
          <w:tcPr>
            <w:tcW w:type="dxa" w:w="2551"/>
            <w:shd w:val="clear" w:color="auto" w:fill="F8FAFC"/>
          </w:tcPr>
          <w:p>
            <w:r>
              <w:rPr>
                <w:b/>
                <w:color w:val="1E293B"/>
                <w:sz w:val="18"/>
              </w:rPr>
              <w:t>console.log in server</w:t>
            </w:r>
          </w:p>
        </w:tc>
        <w:tc>
          <w:tcPr>
            <w:tcW w:type="dxa" w:w="7087"/>
            <w:shd w:val="clear" w:color="auto" w:fill="F8FAFC"/>
          </w:tcPr>
          <w:p>
            <w:r>
              <w:rPr>
                <w:b w:val="0"/>
                <w:color w:val="374151"/>
                <w:sz w:val="18"/>
              </w:rPr>
              <w:t>NEVER use console.log. Use req.log in handlers, logger singleton elsewhere. Breaks pino log aggregation.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r>
              <w:rPr>
                <w:b/>
                <w:color w:val="1E293B"/>
                <w:sz w:val="18"/>
              </w:rPr>
              <w:t>fs.readFileSync(process.cwd())</w:t>
            </w:r>
          </w:p>
        </w:tc>
        <w:tc>
          <w:tcPr>
            <w:tcW w:type="dxa" w:w="7087"/>
            <w:shd w:val="clear" w:color="auto" w:fill="FFFFFF"/>
          </w:tcPr>
          <w:p>
            <w:r>
              <w:rPr>
                <w:b w:val="0"/>
                <w:color w:val="374151"/>
                <w:sz w:val="18"/>
              </w:rPr>
              <w:t>Server does NOT run from artifact dir in production. Config JSON must be statically imported (esbuild bundles it). cwd-relative reads → ENOENT 500.</w:t>
            </w:r>
          </w:p>
        </w:tc>
      </w:tr>
      <w:tr>
        <w:tc>
          <w:tcPr>
            <w:tcW w:type="dxa" w:w="2551"/>
            <w:shd w:val="clear" w:color="auto" w:fill="F8FAFC"/>
          </w:tcPr>
          <w:p>
            <w:r>
              <w:rPr>
                <w:b/>
                <w:color w:val="1E293B"/>
                <w:sz w:val="18"/>
              </w:rPr>
              <w:t>Hardcoded port numbers</w:t>
            </w:r>
          </w:p>
        </w:tc>
        <w:tc>
          <w:tcPr>
            <w:tcW w:type="dxa" w:w="7087"/>
            <w:shd w:val="clear" w:color="auto" w:fill="F8FAFC"/>
          </w:tcPr>
          <w:p>
            <w:r>
              <w:rPr>
                <w:b w:val="0"/>
                <w:color w:val="374151"/>
                <w:sz w:val="18"/>
              </w:rPr>
              <w:t>Each artifact reads PORT from env var. Never hardcode port 3000 or 5000 — proxy assigns ports; collision makes preview blank.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r>
              <w:rPr>
                <w:b/>
                <w:color w:val="1E293B"/>
                <w:sz w:val="18"/>
              </w:rPr>
              <w:t>Tab name strict equality</w:t>
            </w:r>
          </w:p>
        </w:tc>
        <w:tc>
          <w:tcPr>
            <w:tcW w:type="dxa" w:w="7087"/>
            <w:shd w:val="clear" w:color="auto" w:fill="FFFFFF"/>
          </w:tcPr>
          <w:p>
            <w:r>
              <w:rPr>
                <w:b w:val="0"/>
                <w:color w:val="374151"/>
                <w:sz w:val="18"/>
              </w:rPr>
              <w:t>xlsx exports truncate tab titles to 31 chars. Always use startsWith(), never strict equality.</w:t>
            </w:r>
          </w:p>
        </w:tc>
      </w:tr>
      <w:tr>
        <w:tc>
          <w:tcPr>
            <w:tcW w:type="dxa" w:w="2551"/>
            <w:shd w:val="clear" w:color="auto" w:fill="F8FAFC"/>
          </w:tcPr>
          <w:p>
            <w:r>
              <w:rPr>
                <w:b/>
                <w:color w:val="1E293B"/>
                <w:sz w:val="18"/>
              </w:rPr>
              <w:t>String numeric cells</w:t>
            </w:r>
          </w:p>
        </w:tc>
        <w:tc>
          <w:tcPr>
            <w:tcW w:type="dxa" w:w="7087"/>
            <w:shd w:val="clear" w:color="auto" w:fill="F8FAFC"/>
          </w:tcPr>
          <w:p>
            <w:r>
              <w:rPr>
                <w:b w:val="0"/>
                <w:color w:val="374151"/>
                <w:sz w:val="18"/>
              </w:rPr>
              <w:t>Monthly order cells in Sheets are stored as strings. Use cell helper coercion in sheets.ts — never assume numeric type.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r>
              <w:rPr>
                <w:b/>
                <w:color w:val="1E293B"/>
                <w:sz w:val="18"/>
              </w:rPr>
              <w:t>Occurrence on filtered rows</w:t>
            </w:r>
          </w:p>
        </w:tc>
        <w:tc>
          <w:tcPr>
            <w:tcW w:type="dxa" w:w="7087"/>
            <w:shd w:val="clear" w:color="auto" w:fill="FFFFFF"/>
          </w:tcPr>
          <w:p>
            <w:r>
              <w:rPr>
                <w:b w:val="0"/>
                <w:color w:val="374151"/>
                <w:sz w:val="18"/>
              </w:rPr>
              <w:t>Count occurrence over ALL rows BEFORE filtering. Counting post-filter breaks dedup — duplicates get different UIDs and slip through.</w:t>
            </w:r>
          </w:p>
        </w:tc>
      </w:tr>
      <w:tr>
        <w:tc>
          <w:tcPr>
            <w:tcW w:type="dxa" w:w="2551"/>
            <w:shd w:val="clear" w:color="auto" w:fill="F8FAFC"/>
          </w:tcPr>
          <w:p>
            <w:r>
              <w:rPr>
                <w:b/>
                <w:color w:val="1E293B"/>
                <w:sz w:val="18"/>
              </w:rPr>
              <w:t>Combined tab confusion</w:t>
            </w:r>
          </w:p>
        </w:tc>
        <w:tc>
          <w:tcPr>
            <w:tcW w:type="dxa" w:w="7087"/>
            <w:shd w:val="clear" w:color="auto" w:fill="F8FAFC"/>
          </w:tcPr>
          <w:p>
            <w:r>
              <w:rPr>
                <w:b w:val="0"/>
                <w:color w:val="374151"/>
                <w:sz w:val="18"/>
              </w:rPr>
              <w:t>The 'Combined' order tab is formula-driven and not cached in xlsx. Use monthly tabs. Exception: FY23-24 secondary Combined tab IS the reconciling total.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r>
              <w:rPr>
                <w:b/>
                <w:color w:val="1E293B"/>
                <w:sz w:val="18"/>
              </w:rPr>
              <w:t>MRP / Purchase Price as cost</w:t>
            </w:r>
          </w:p>
        </w:tc>
        <w:tc>
          <w:tcPr>
            <w:tcW w:type="dxa" w:w="7087"/>
            <w:shd w:val="clear" w:color="auto" w:fill="FFFFFF"/>
          </w:tcPr>
          <w:p>
            <w:r>
              <w:rPr>
                <w:b w:val="0"/>
                <w:color w:val="374151"/>
                <w:sz w:val="18"/>
              </w:rPr>
              <w:t>MRP and Purchase Price are list prices. Never use them as FG cost for margin analytics. Only cost_master.fg_cost.</w:t>
            </w:r>
          </w:p>
        </w:tc>
      </w:tr>
      <w:tr>
        <w:tc>
          <w:tcPr>
            <w:tcW w:type="dxa" w:w="2551"/>
            <w:shd w:val="clear" w:color="auto" w:fill="F8FAFC"/>
          </w:tcPr>
          <w:p>
            <w:r>
              <w:rPr>
                <w:b/>
                <w:color w:val="1E293B"/>
                <w:sz w:val="18"/>
              </w:rPr>
              <w:t>Blending Territory + Institutional</w:t>
            </w:r>
          </w:p>
        </w:tc>
        <w:tc>
          <w:tcPr>
            <w:tcW w:type="dxa" w:w="7087"/>
            <w:shd w:val="clear" w:color="auto" w:fill="F8FAFC"/>
          </w:tcPr>
          <w:p>
            <w:r>
              <w:rPr>
                <w:b w:val="0"/>
                <w:color w:val="374151"/>
                <w:sz w:val="18"/>
              </w:rPr>
              <w:t>Blending produces nonsensical YoY numbers. Always report separately.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r>
              <w:rPr>
                <w:b/>
                <w:color w:val="1E293B"/>
                <w:sz w:val="18"/>
              </w:rPr>
              <w:t>api-zod re-export of types</w:t>
            </w:r>
          </w:p>
        </w:tc>
        <w:tc>
          <w:tcPr>
            <w:tcW w:type="dxa" w:w="7087"/>
            <w:shd w:val="clear" w:color="auto" w:fill="FFFFFF"/>
          </w:tcPr>
          <w:p>
            <w:r>
              <w:rPr>
                <w:b w:val="0"/>
                <w:color w:val="374151"/>
                <w:sz w:val="18"/>
              </w:rPr>
              <w:t>Never re-export ./generated/types from api-zod/src/index.ts. Causes TS2308 — Zod schema constants and TS types share names.</w:t>
            </w:r>
          </w:p>
        </w:tc>
      </w:tr>
      <w:tr>
        <w:tc>
          <w:tcPr>
            <w:tcW w:type="dxa" w:w="2551"/>
            <w:shd w:val="clear" w:color="auto" w:fill="F8FAFC"/>
          </w:tcPr>
          <w:p>
            <w:r>
              <w:rPr>
                <w:b/>
                <w:color w:val="1E293B"/>
                <w:sz w:val="18"/>
              </w:rPr>
              <w:t>Deleting sale_line rows</w:t>
            </w:r>
          </w:p>
        </w:tc>
        <w:tc>
          <w:tcPr>
            <w:tcW w:type="dxa" w:w="7087"/>
            <w:shd w:val="clear" w:color="auto" w:fill="F8FAFC"/>
          </w:tcPr>
          <w:p>
            <w:r>
              <w:rPr>
                <w:b w:val="0"/>
                <w:color w:val="374151"/>
                <w:sz w:val="18"/>
              </w:rPr>
              <w:t>Deleting rows cascades occurrence-count drift. Always clear+re-sync the whole FY. Use version_status='superseded' for corrections, not DELETE.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r>
              <w:rPr>
                <w:b/>
                <w:color w:val="1E293B"/>
                <w:sz w:val="18"/>
              </w:rPr>
              <w:t>Module-level mutable request state</w:t>
            </w:r>
          </w:p>
        </w:tc>
        <w:tc>
          <w:tcPr>
            <w:tcW w:type="dxa" w:w="7087"/>
            <w:shd w:val="clear" w:color="auto" w:fill="FFFFFF"/>
          </w:tcPr>
          <w:p>
            <w:r>
              <w:rPr>
                <w:b w:val="0"/>
                <w:color w:val="374151"/>
                <w:sz w:val="18"/>
              </w:rPr>
              <w:t>Never keep per-request state in module-level mutables. Use a Map keyed on cache key to deduplicate in-flight Sheets reads.</w:t>
            </w:r>
          </w:p>
        </w:tc>
      </w:tr>
      <w:tr>
        <w:tc>
          <w:tcPr>
            <w:tcW w:type="dxa" w:w="2551"/>
            <w:shd w:val="clear" w:color="auto" w:fill="F8FAFC"/>
          </w:tcPr>
          <w:p>
            <w:r>
              <w:rPr>
                <w:b/>
                <w:color w:val="1E293B"/>
                <w:sz w:val="18"/>
              </w:rPr>
              <w:t>stale .tsbuildinfo files</w:t>
            </w:r>
          </w:p>
        </w:tc>
        <w:tc>
          <w:tcPr>
            <w:tcW w:type="dxa" w:w="7087"/>
            <w:shd w:val="clear" w:color="auto" w:fill="F8FAFC"/>
          </w:tcPr>
          <w:p>
            <w:r>
              <w:rPr>
                <w:b w:val="0"/>
                <w:color w:val="374151"/>
                <w:sz w:val="18"/>
              </w:rPr>
              <w:t>If line numbers look wrong in TS errors, delete *.tsbuildinfo and re-run tsc --build.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spacing w:before="200" w:after="40"/>
      </w:pPr>
      <w:r>
        <w:rPr>
          <w:b/>
          <w:color w:val="334155"/>
          <w:sz w:val="26"/>
        </w:rPr>
        <w:t>10. Development Workflow</w:t>
      </w:r>
    </w:p>
    <w:p>
      <w:pPr>
        <w:spacing w:before="0" w:after="80"/>
      </w:pPr>
      <w:r>
        <w:rPr>
          <w:i/>
          <w:color w:val="64748B"/>
          <w:sz w:val="18"/>
        </w:rPr>
        <w:t>Commands, environment variables, conventions</w:t>
      </w:r>
    </w:p>
    <w:p>
      <w:pPr>
        <w:spacing w:before="60" w:after="60"/>
        <w:pBdr>
          <w:bottom w:val="single" w:sz="4" w:space="1" w:color="334155"/>
        </w:pBdr>
      </w:pPr>
    </w:p>
    <w:p>
      <w:pPr>
        <w:spacing w:before="160" w:after="60"/>
      </w:pPr>
      <w:r>
        <w:rPr>
          <w:b/>
          <w:color w:val="334155"/>
          <w:sz w:val="22"/>
        </w:rPr>
        <w:t>10.1 Key Commands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4873"/>
        <w:gridCol w:w="4873"/>
      </w:tblGrid>
      <w:tr>
        <w:tc>
          <w:tcPr>
            <w:tcW w:type="dxa" w:w="3969"/>
            <w:shd w:val="clear" w:color="auto" w:fill="334155"/>
          </w:tcPr>
          <w:p>
            <w:r>
              <w:rPr>
                <w:b/>
                <w:color w:val="FFFFFF"/>
                <w:sz w:val="18"/>
              </w:rPr>
              <w:t>Command</w:t>
            </w:r>
          </w:p>
        </w:tc>
        <w:tc>
          <w:tcPr>
            <w:tcW w:type="dxa" w:w="5669"/>
            <w:shd w:val="clear" w:color="auto" w:fill="334155"/>
          </w:tcPr>
          <w:p>
            <w:r>
              <w:rPr>
                <w:b/>
                <w:color w:val="FFFFFF"/>
                <w:sz w:val="18"/>
              </w:rPr>
              <w:t>Purpose</w:t>
            </w:r>
          </w:p>
        </w:tc>
      </w:tr>
      <w:tr>
        <w:tc>
          <w:tcPr>
            <w:tcW w:type="dxa" w:w="3969"/>
            <w:shd w:val="clear" w:color="auto" w:fill="F8FAFC"/>
          </w:tcPr>
          <w:p>
            <w:r>
              <w:rPr>
                <w:b/>
                <w:color w:val="1E293B"/>
                <w:sz w:val="18"/>
              </w:rPr>
              <w:t>pnpm --filter @workspace/api-server run dev</w:t>
            </w:r>
          </w:p>
        </w:tc>
        <w:tc>
          <w:tcPr>
            <w:tcW w:type="dxa" w:w="5669"/>
            <w:shd w:val="clear" w:color="auto" w:fill="F8FAFC"/>
          </w:tcPr>
          <w:p>
            <w:r>
              <w:rPr>
                <w:b w:val="0"/>
                <w:color w:val="374151"/>
                <w:sz w:val="18"/>
              </w:rPr>
              <w:t>Start the API server.</w:t>
            </w:r>
          </w:p>
        </w:tc>
      </w:tr>
      <w:tr>
        <w:tc>
          <w:tcPr>
            <w:tcW w:type="dxa" w:w="3969"/>
            <w:shd w:val="clear" w:color="auto" w:fill="FFFFFF"/>
          </w:tcPr>
          <w:p>
            <w:r>
              <w:rPr>
                <w:b/>
                <w:color w:val="1E293B"/>
                <w:sz w:val="18"/>
              </w:rPr>
              <w:t>pnpm --filter @workspace/api-server run test</w:t>
            </w:r>
          </w:p>
        </w:tc>
        <w:tc>
          <w:tcPr>
            <w:tcW w:type="dxa" w:w="5669"/>
            <w:shd w:val="clear" w:color="auto" w:fill="FFFFFF"/>
          </w:tcPr>
          <w:p>
            <w:r>
              <w:rPr>
                <w:b w:val="0"/>
                <w:color w:val="374151"/>
                <w:sz w:val="18"/>
              </w:rPr>
              <w:t>Run test suite (vitest; isolated dashboard_test DB schema — never real table).</w:t>
            </w:r>
          </w:p>
        </w:tc>
      </w:tr>
      <w:tr>
        <w:tc>
          <w:tcPr>
            <w:tcW w:type="dxa" w:w="3969"/>
            <w:shd w:val="clear" w:color="auto" w:fill="F8FAFC"/>
          </w:tcPr>
          <w:p>
            <w:r>
              <w:rPr>
                <w:b/>
                <w:color w:val="1E293B"/>
                <w:sz w:val="18"/>
              </w:rPr>
              <w:t>pnpm run typecheck</w:t>
            </w:r>
          </w:p>
        </w:tc>
        <w:tc>
          <w:tcPr>
            <w:tcW w:type="dxa" w:w="5669"/>
            <w:shd w:val="clear" w:color="auto" w:fill="F8FAFC"/>
          </w:tcPr>
          <w:p>
            <w:r>
              <w:rPr>
                <w:b w:val="0"/>
                <w:color w:val="374151"/>
                <w:sz w:val="18"/>
              </w:rPr>
              <w:t>Full typecheck across all packages. Prefer this over editor/LSP when they disagree.</w:t>
            </w:r>
          </w:p>
        </w:tc>
      </w:tr>
      <w:tr>
        <w:tc>
          <w:tcPr>
            <w:tcW w:type="dxa" w:w="3969"/>
            <w:shd w:val="clear" w:color="auto" w:fill="FFFFFF"/>
          </w:tcPr>
          <w:p>
            <w:r>
              <w:rPr>
                <w:b/>
                <w:color w:val="1E293B"/>
                <w:sz w:val="18"/>
              </w:rPr>
              <w:t>pnpm run typecheck:libs</w:t>
            </w:r>
          </w:p>
        </w:tc>
        <w:tc>
          <w:tcPr>
            <w:tcW w:type="dxa" w:w="5669"/>
            <w:shd w:val="clear" w:color="auto" w:fill="FFFFFF"/>
          </w:tcPr>
          <w:p>
            <w:r>
              <w:rPr>
                <w:b w:val="0"/>
                <w:color w:val="374151"/>
                <w:sz w:val="18"/>
              </w:rPr>
              <w:t>Build composite libs only (tsc --build). Run if @workspace/db exports appear stale.</w:t>
            </w:r>
          </w:p>
        </w:tc>
      </w:tr>
      <w:tr>
        <w:tc>
          <w:tcPr>
            <w:tcW w:type="dxa" w:w="3969"/>
            <w:shd w:val="clear" w:color="auto" w:fill="F8FAFC"/>
          </w:tcPr>
          <w:p>
            <w:r>
              <w:rPr>
                <w:b/>
                <w:color w:val="1E293B"/>
                <w:sz w:val="18"/>
              </w:rPr>
              <w:t>pnpm --filter @workspace/api-spec run codegen</w:t>
            </w:r>
          </w:p>
        </w:tc>
        <w:tc>
          <w:tcPr>
            <w:tcW w:type="dxa" w:w="5669"/>
            <w:shd w:val="clear" w:color="auto" w:fill="F8FAFC"/>
          </w:tcPr>
          <w:p>
            <w:r>
              <w:rPr>
                <w:b w:val="0"/>
                <w:color w:val="374151"/>
                <w:sz w:val="18"/>
              </w:rPr>
              <w:t>Regenerate React-Query hooks + Zod schemas from openapi.yaml.</w:t>
            </w:r>
          </w:p>
        </w:tc>
      </w:tr>
      <w:tr>
        <w:tc>
          <w:tcPr>
            <w:tcW w:type="dxa" w:w="3969"/>
            <w:shd w:val="clear" w:color="auto" w:fill="FFFFFF"/>
          </w:tcPr>
          <w:p>
            <w:r>
              <w:rPr>
                <w:b/>
                <w:color w:val="1E293B"/>
                <w:sz w:val="18"/>
              </w:rPr>
              <w:t>pnpm --filter @workspace/db run push</w:t>
            </w:r>
          </w:p>
        </w:tc>
        <w:tc>
          <w:tcPr>
            <w:tcW w:type="dxa" w:w="5669"/>
            <w:shd w:val="clear" w:color="auto" w:fill="FFFFFF"/>
          </w:tcPr>
          <w:p>
            <w:r>
              <w:rPr>
                <w:b w:val="0"/>
                <w:color w:val="374151"/>
                <w:sz w:val="18"/>
              </w:rPr>
              <w:t>Push DB schema changes (dev only).</w:t>
            </w:r>
          </w:p>
        </w:tc>
      </w:tr>
      <w:tr>
        <w:tc>
          <w:tcPr>
            <w:tcW w:type="dxa" w:w="3969"/>
            <w:shd w:val="clear" w:color="auto" w:fill="F8FAFC"/>
          </w:tcPr>
          <w:p>
            <w:r>
              <w:rPr>
                <w:b/>
                <w:color w:val="1E293B"/>
                <w:sz w:val="18"/>
              </w:rPr>
              <w:t>pnpm --filter @workspace/api-server run backfill -- --file &lt;xlsx&gt; [--fy 2026-27] [--dry-run]</w:t>
            </w:r>
          </w:p>
        </w:tc>
        <w:tc>
          <w:tcPr>
            <w:tcW w:type="dxa" w:w="5669"/>
            <w:shd w:val="clear" w:color="auto" w:fill="F8FAFC"/>
          </w:tcPr>
          <w:p>
            <w:r>
              <w:rPr>
                <w:b w:val="0"/>
                <w:color w:val="374151"/>
                <w:sz w:val="18"/>
              </w:rPr>
              <w:t>Idempotent xlsx backfill into sale_line.</w:t>
            </w:r>
          </w:p>
        </w:tc>
      </w:tr>
    </w:tbl>
    <w:p>
      <w:pPr>
        <w:spacing w:after="80"/>
      </w:pPr>
    </w:p>
    <w:p>
      <w:pPr>
        <w:spacing w:before="160" w:after="60"/>
      </w:pPr>
      <w:r>
        <w:rPr>
          <w:b/>
          <w:color w:val="334155"/>
          <w:sz w:val="22"/>
        </w:rPr>
        <w:t>10.2 Environment Variables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4873"/>
        <w:gridCol w:w="4873"/>
      </w:tblGrid>
      <w:tr>
        <w:tc>
          <w:tcPr>
            <w:tcW w:type="dxa" w:w="2835"/>
            <w:shd w:val="clear" w:color="auto" w:fill="334155"/>
          </w:tcPr>
          <w:p>
            <w:r>
              <w:rPr>
                <w:b/>
                <w:color w:val="FFFFFF"/>
                <w:sz w:val="18"/>
              </w:rPr>
              <w:t>Variable</w:t>
            </w:r>
          </w:p>
        </w:tc>
        <w:tc>
          <w:tcPr>
            <w:tcW w:type="dxa" w:w="6803"/>
            <w:shd w:val="clear" w:color="auto" w:fill="334155"/>
          </w:tcPr>
          <w:p>
            <w:r>
              <w:rPr>
                <w:b/>
                <w:color w:val="FFFFFF"/>
                <w:sz w:val="18"/>
              </w:rPr>
              <w:t>Purpose</w:t>
            </w:r>
          </w:p>
        </w:tc>
      </w:tr>
      <w:tr>
        <w:tc>
          <w:tcPr>
            <w:tcW w:type="dxa" w:w="2835"/>
            <w:shd w:val="clear" w:color="auto" w:fill="F8FAFC"/>
          </w:tcPr>
          <w:p>
            <w:r>
              <w:rPr>
                <w:b/>
                <w:color w:val="1E293B"/>
                <w:sz w:val="18"/>
              </w:rPr>
              <w:t>DATABASE_URL</w:t>
            </w:r>
          </w:p>
        </w:tc>
        <w:tc>
          <w:tcPr>
            <w:tcW w:type="dxa" w:w="6803"/>
            <w:shd w:val="clear" w:color="auto" w:fill="F8FAFC"/>
          </w:tcPr>
          <w:p>
            <w:r>
              <w:rPr>
                <w:b w:val="0"/>
                <w:color w:val="374151"/>
                <w:sz w:val="18"/>
              </w:rPr>
              <w:t>REQUIRED. PostgreSQL connection string.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r>
              <w:rPr>
                <w:b/>
                <w:color w:val="1E293B"/>
                <w:sz w:val="18"/>
              </w:rPr>
              <w:t>ANTHROPIC_API_KEY</w:t>
            </w:r>
          </w:p>
        </w:tc>
        <w:tc>
          <w:tcPr>
            <w:tcW w:type="dxa" w:w="6803"/>
            <w:shd w:val="clear" w:color="auto" w:fill="FFFFFF"/>
          </w:tcPr>
          <w:p>
            <w:r>
              <w:rPr>
                <w:b w:val="0"/>
                <w:color w:val="374151"/>
                <w:sz w:val="18"/>
              </w:rPr>
              <w:t>REQUIRED for AI Analyst. Proxied via Replit integration.</w:t>
            </w:r>
          </w:p>
        </w:tc>
      </w:tr>
      <w:tr>
        <w:tc>
          <w:tcPr>
            <w:tcW w:type="dxa" w:w="2835"/>
            <w:shd w:val="clear" w:color="auto" w:fill="F8FAFC"/>
          </w:tcPr>
          <w:p>
            <w:r>
              <w:rPr>
                <w:b/>
                <w:color w:val="1E293B"/>
                <w:sz w:val="18"/>
              </w:rPr>
              <w:t>DASHBOARD_SYNC_INTERVAL_MINUTES</w:t>
            </w:r>
          </w:p>
        </w:tc>
        <w:tc>
          <w:tcPr>
            <w:tcW w:type="dxa" w:w="6803"/>
            <w:shd w:val="clear" w:color="auto" w:fill="F8FAFC"/>
          </w:tcPr>
          <w:p>
            <w:r>
              <w:rPr>
                <w:b w:val="0"/>
                <w:color w:val="374151"/>
                <w:sz w:val="18"/>
              </w:rPr>
              <w:t>Optional. Background sync interval (default 60). 0 = disable.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r>
              <w:rPr>
                <w:b/>
                <w:color w:val="1E293B"/>
                <w:sz w:val="18"/>
              </w:rPr>
              <w:t>DEFAULT_OBJECT_STORAGE_BUCKET_ID</w:t>
            </w:r>
          </w:p>
        </w:tc>
        <w:tc>
          <w:tcPr>
            <w:tcW w:type="dxa" w:w="6803"/>
            <w:shd w:val="clear" w:color="auto" w:fill="FFFFFF"/>
          </w:tcPr>
          <w:p>
            <w:r>
              <w:rPr>
                <w:b w:val="0"/>
                <w:color w:val="374151"/>
                <w:sz w:val="18"/>
              </w:rPr>
              <w:t>Replit Object Storage bucket for SAP XLSX uploads.</w:t>
            </w:r>
          </w:p>
        </w:tc>
      </w:tr>
      <w:tr>
        <w:tc>
          <w:tcPr>
            <w:tcW w:type="dxa" w:w="2835"/>
            <w:shd w:val="clear" w:color="auto" w:fill="F8FAFC"/>
          </w:tcPr>
          <w:p>
            <w:r>
              <w:rPr>
                <w:b/>
                <w:color w:val="1E293B"/>
                <w:sz w:val="18"/>
              </w:rPr>
              <w:t>PRIVATE_OBJECT_DIR</w:t>
            </w:r>
          </w:p>
        </w:tc>
        <w:tc>
          <w:tcPr>
            <w:tcW w:type="dxa" w:w="6803"/>
            <w:shd w:val="clear" w:color="auto" w:fill="F8FAFC"/>
          </w:tcPr>
          <w:p>
            <w:r>
              <w:rPr>
                <w:b w:val="0"/>
                <w:color w:val="374151"/>
                <w:sz w:val="18"/>
              </w:rPr>
              <w:t>Object storage directory prefix for SAP files.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r>
              <w:rPr>
                <w:b/>
                <w:color w:val="1E293B"/>
                <w:sz w:val="18"/>
              </w:rPr>
              <w:t>SESSION_SECRET</w:t>
            </w:r>
          </w:p>
        </w:tc>
        <w:tc>
          <w:tcPr>
            <w:tcW w:type="dxa" w:w="6803"/>
            <w:shd w:val="clear" w:color="auto" w:fill="FFFFFF"/>
          </w:tcPr>
          <w:p>
            <w:r>
              <w:rPr>
                <w:b w:val="0"/>
                <w:color w:val="374151"/>
                <w:sz w:val="18"/>
              </w:rPr>
              <w:t>Session signing secret for API authentication.</w:t>
            </w:r>
          </w:p>
        </w:tc>
      </w:tr>
      <w:tr>
        <w:tc>
          <w:tcPr>
            <w:tcW w:type="dxa" w:w="2835"/>
            <w:shd w:val="clear" w:color="auto" w:fill="F8FAFC"/>
          </w:tcPr>
          <w:p>
            <w:r>
              <w:rPr>
                <w:b/>
                <w:color w:val="1E293B"/>
                <w:sz w:val="18"/>
              </w:rPr>
              <w:t>PORT</w:t>
            </w:r>
          </w:p>
        </w:tc>
        <w:tc>
          <w:tcPr>
            <w:tcW w:type="dxa" w:w="6803"/>
            <w:shd w:val="clear" w:color="auto" w:fill="F8FAFC"/>
          </w:tcPr>
          <w:p>
            <w:r>
              <w:rPr>
                <w:b w:val="0"/>
                <w:color w:val="374151"/>
                <w:sz w:val="18"/>
              </w:rPr>
              <w:t>Injected by Replit workflow system. Never hardcode.</w:t>
            </w:r>
          </w:p>
        </w:tc>
      </w:tr>
    </w:tbl>
    <w:p>
      <w:pPr>
        <w:spacing w:after="80"/>
      </w:pPr>
    </w:p>
    <w:p>
      <w:pPr>
        <w:spacing w:before="160" w:after="60"/>
      </w:pPr>
      <w:r>
        <w:rPr>
          <w:b/>
          <w:color w:val="334155"/>
          <w:sz w:val="22"/>
        </w:rPr>
        <w:t>10.3 New API Route Checklist</w:t>
      </w:r>
    </w:p>
    <w:p>
      <w:pPr>
        <w:pStyle w:val="ListBullet"/>
        <w:spacing w:after="40"/>
        <w:ind w:left="283"/>
      </w:pPr>
      <w:r>
        <w:rPr>
          <w:color w:val="374151"/>
          <w:sz w:val="19"/>
        </w:rPr>
        <w:t>Add route handler in artifacts/api-server/src/routes/&lt;module&gt;.ts.</w:t>
      </w:r>
    </w:p>
    <w:p>
      <w:pPr>
        <w:pStyle w:val="ListBullet"/>
        <w:spacing w:after="40"/>
        <w:ind w:left="283"/>
      </w:pPr>
      <w:r>
        <w:rPr>
          <w:color w:val="374151"/>
          <w:sz w:val="19"/>
        </w:rPr>
        <w:t>Add endpoint to lib/api-spec/openapi.yaml (contract first).</w:t>
      </w:r>
    </w:p>
    <w:p>
      <w:pPr>
        <w:pStyle w:val="ListBullet"/>
        <w:spacing w:after="40"/>
        <w:ind w:left="283"/>
      </w:pPr>
      <w:r>
        <w:rPr>
          <w:color w:val="374151"/>
          <w:sz w:val="19"/>
        </w:rPr>
        <w:t>Run codegen: pnpm --filter @workspace/api-spec run codegen.</w:t>
      </w:r>
    </w:p>
    <w:p>
      <w:pPr>
        <w:pStyle w:val="ListBullet"/>
        <w:spacing w:after="40"/>
        <w:ind w:left="283"/>
      </w:pPr>
      <w:r>
        <w:rPr>
          <w:color w:val="374151"/>
          <w:sz w:val="19"/>
        </w:rPr>
        <w:t>Use req.log for logging inside handlers, not console.log.</w:t>
      </w:r>
    </w:p>
    <w:p>
      <w:pPr>
        <w:pStyle w:val="ListBullet"/>
        <w:spacing w:after="40"/>
        <w:ind w:left="283"/>
      </w:pPr>
      <w:r>
        <w:rPr>
          <w:color w:val="374151"/>
          <w:sz w:val="19"/>
        </w:rPr>
        <w:t>Validate inputs with Zod schemas (from lib/api-zod or inline).</w:t>
      </w:r>
    </w:p>
    <w:p>
      <w:pPr>
        <w:pStyle w:val="ListBullet"/>
        <w:spacing w:after="40"/>
        <w:ind w:left="283"/>
      </w:pPr>
      <w:r>
        <w:rPr>
          <w:color w:val="374151"/>
          <w:sz w:val="19"/>
        </w:rPr>
        <w:t>RESTART the API Server workflow — new routes require a restart to take effect.</w:t>
      </w:r>
    </w:p>
    <w:sectPr w:rsidR="00FC693F" w:rsidRPr="0006063C" w:rsidSect="00034616">
      <w:pgSz w:w="12240" w:h="15840"/>
      <w:pgMar w:top="1020" w:right="1247" w:bottom="102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