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FY2026–27 Sales (Dispatch) — Database vs Live Sheet</w:t>
      </w:r>
    </w:p>
    <w:p>
      <w:r/>
      <w:r>
        <w:rPr>
          <w:b/>
        </w:rPr>
        <w:t>Report date:</w:t>
      </w:r>
      <w:r>
        <w:t xml:space="preserve"> 7 September 2026  </w:t>
      </w:r>
    </w:p>
    <w:p>
      <w:r/>
      <w:r>
        <w:rPr>
          <w:b/>
        </w:rPr>
        <w:t>Scope:</w:t>
      </w:r>
      <w:r>
        <w:t xml:space="preserve"> Read-only discrepancy investigation  </w:t>
      </w:r>
    </w:p>
    <w:p>
      <w:r/>
      <w:r>
        <w:rPr>
          <w:b/>
        </w:rPr>
        <w:t>Status:</w:t>
      </w:r>
      <w:r>
        <w:t xml:space="preserve"> No changes, builds, writes, detector calls, or re-syncs were performed.</w:t>
      </w:r>
    </w:p>
    <w:p>
      <w:pPr>
        <w:pStyle w:val="Heading1"/>
      </w:pPr>
      <w:r>
        <w:t>Executive Summary</w:t>
      </w:r>
    </w:p>
    <w:p>
      <w:r>
        <w:t>The Overview Sales (Dispatch) chart agrees with the live Google Sheet for April, May, and September. Production is ahead of the current sheet in June, July, and August:</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Month</w:t>
            </w:r>
          </w:p>
        </w:tc>
        <w:tc>
          <w:tcPr>
            <w:tcW w:type="dxa" w:w="3456"/>
          </w:tcPr>
          <w:p>
            <w:r>
              <w:rPr>
                <w:b/>
              </w:rPr>
              <w:t>Production minus live sheet rows</w:t>
            </w:r>
          </w:p>
        </w:tc>
        <w:tc>
          <w:tcPr>
            <w:tcW w:type="dxa" w:w="3456"/>
          </w:tcPr>
          <w:p>
            <w:r>
              <w:rPr>
                <w:b/>
              </w:rPr>
              <w:t>Production minus live sheet value</w:t>
            </w:r>
          </w:p>
        </w:tc>
      </w:tr>
      <w:tr>
        <w:tc>
          <w:tcPr>
            <w:tcW w:type="dxa" w:w="3456"/>
          </w:tcPr>
          <w:p>
            <w:r>
              <w:t>Jun-26</w:t>
            </w:r>
          </w:p>
        </w:tc>
        <w:tc>
          <w:tcPr>
            <w:tcW w:type="dxa" w:w="3456"/>
          </w:tcPr>
          <w:p>
            <w:r>
              <w:t>+20</w:t>
            </w:r>
          </w:p>
        </w:tc>
        <w:tc>
          <w:tcPr>
            <w:tcW w:type="dxa" w:w="3456"/>
          </w:tcPr>
          <w:p>
            <w:r>
              <w:t>+₹4,82,810.94</w:t>
            </w:r>
          </w:p>
        </w:tc>
      </w:tr>
      <w:tr>
        <w:tc>
          <w:tcPr>
            <w:tcW w:type="dxa" w:w="3456"/>
          </w:tcPr>
          <w:p>
            <w:r>
              <w:t>Jul-26</w:t>
            </w:r>
          </w:p>
        </w:tc>
        <w:tc>
          <w:tcPr>
            <w:tcW w:type="dxa" w:w="3456"/>
          </w:tcPr>
          <w:p>
            <w:r>
              <w:t>+36</w:t>
            </w:r>
          </w:p>
        </w:tc>
        <w:tc>
          <w:tcPr>
            <w:tcW w:type="dxa" w:w="3456"/>
          </w:tcPr>
          <w:p>
            <w:r>
              <w:t>+₹5,61,852.00</w:t>
            </w:r>
          </w:p>
        </w:tc>
      </w:tr>
      <w:tr>
        <w:tc>
          <w:tcPr>
            <w:tcW w:type="dxa" w:w="3456"/>
          </w:tcPr>
          <w:p>
            <w:r>
              <w:t>Aug-26</w:t>
            </w:r>
          </w:p>
        </w:tc>
        <w:tc>
          <w:tcPr>
            <w:tcW w:type="dxa" w:w="3456"/>
          </w:tcPr>
          <w:p>
            <w:r>
              <w:t>+7</w:t>
            </w:r>
          </w:p>
        </w:tc>
        <w:tc>
          <w:tcPr>
            <w:tcW w:type="dxa" w:w="3456"/>
          </w:tcPr>
          <w:p>
            <w:r>
              <w:t>+₹27,724.00</w:t>
            </w:r>
          </w:p>
        </w:tc>
      </w:tr>
    </w:tbl>
    <w:p>
      <w:r>
        <w:t>No discrepancy is caused by loader rejection, quarantine, non-current versions, date parsing, tab/month disagreement, or undated rows. June and July are frozen-source drift. August’s lower source was read but not adopted because the strict freeze-transition guard refuses any reduction from the last-good row count.</w:t>
      </w:r>
    </w:p>
    <w:p>
      <w:pPr>
        <w:pStyle w:val="Title"/>
        <w:jc w:val="center"/>
      </w:pPr>
      <w:r>
        <w:t>A. Production Database</w:t>
      </w:r>
    </w:p>
    <w:p>
      <w:r>
        <w:t>Source: production sale_line view and underlying sale_line_all table, filtered to:</w:t>
      </w:r>
    </w:p>
    <w:p>
      <w:pPr>
        <w:pStyle w:val="ListBullet"/>
      </w:pPr>
      <w:r>
        <w:t>fy = '2026-27'</w:t>
      </w:r>
    </w:p>
    <w:p>
      <w:pPr>
        <w:pStyle w:val="ListBullet"/>
      </w:pPr>
      <w:r>
        <w:t>version_status = 'current'</w:t>
      </w:r>
    </w:p>
    <w:p>
      <w:r>
        <w:t>The view and table returned identical current-row figures.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rPr>
              <w:t>Month</w:t>
            </w:r>
          </w:p>
        </w:tc>
        <w:tc>
          <w:tcPr>
            <w:tcW w:type="dxa" w:w="2074"/>
          </w:tcPr>
          <w:p>
            <w:r>
              <w:rPr>
                <w:b/>
              </w:rPr>
              <w:t>Current rows</w:t>
            </w:r>
          </w:p>
        </w:tc>
        <w:tc>
          <w:tcPr>
            <w:tcW w:type="dxa" w:w="2074"/>
          </w:tcPr>
          <w:p>
            <w:r>
              <w:rPr>
                <w:b/>
              </w:rPr>
              <w:t>SUM(amount)</w:t>
            </w:r>
          </w:p>
        </w:tc>
        <w:tc>
          <w:tcPr>
            <w:tcW w:type="dxa" w:w="2074"/>
          </w:tcPr>
          <w:p>
            <w:r>
              <w:rPr>
                <w:b/>
              </w:rPr>
              <w:t>Minimum invoice date</w:t>
            </w:r>
          </w:p>
        </w:tc>
        <w:tc>
          <w:tcPr>
            <w:tcW w:type="dxa" w:w="2074"/>
          </w:tcPr>
          <w:p>
            <w:r>
              <w:rPr>
                <w:b/>
              </w:rPr>
              <w:t>Maximum invoice date</w:t>
            </w:r>
          </w:p>
        </w:tc>
      </w:tr>
      <w:tr>
        <w:tc>
          <w:tcPr>
            <w:tcW w:type="dxa" w:w="2074"/>
          </w:tcPr>
          <w:p>
            <w:r>
              <w:t>Apr-26</w:t>
            </w:r>
          </w:p>
        </w:tc>
        <w:tc>
          <w:tcPr>
            <w:tcW w:type="dxa" w:w="2074"/>
          </w:tcPr>
          <w:p>
            <w:r>
              <w:t>5,542</w:t>
            </w:r>
          </w:p>
        </w:tc>
        <w:tc>
          <w:tcPr>
            <w:tcW w:type="dxa" w:w="2074"/>
          </w:tcPr>
          <w:p>
            <w:r>
              <w:t>₹13,10,81,249.77</w:t>
            </w:r>
          </w:p>
        </w:tc>
        <w:tc>
          <w:tcPr>
            <w:tcW w:type="dxa" w:w="2074"/>
          </w:tcPr>
          <w:p>
            <w:r>
              <w:t>6 Apr 2026</w:t>
            </w:r>
          </w:p>
        </w:tc>
        <w:tc>
          <w:tcPr>
            <w:tcW w:type="dxa" w:w="2074"/>
          </w:tcPr>
          <w:p>
            <w:r>
              <w:t>30 Apr 2026</w:t>
            </w:r>
          </w:p>
        </w:tc>
      </w:tr>
      <w:tr>
        <w:tc>
          <w:tcPr>
            <w:tcW w:type="dxa" w:w="2074"/>
          </w:tcPr>
          <w:p>
            <w:r>
              <w:t>May-26</w:t>
            </w:r>
          </w:p>
        </w:tc>
        <w:tc>
          <w:tcPr>
            <w:tcW w:type="dxa" w:w="2074"/>
          </w:tcPr>
          <w:p>
            <w:r>
              <w:t>11,812</w:t>
            </w:r>
          </w:p>
        </w:tc>
        <w:tc>
          <w:tcPr>
            <w:tcW w:type="dxa" w:w="2074"/>
          </w:tcPr>
          <w:p>
            <w:r>
              <w:t>₹28,27,83,021.58</w:t>
            </w:r>
          </w:p>
        </w:tc>
        <w:tc>
          <w:tcPr>
            <w:tcW w:type="dxa" w:w="2074"/>
          </w:tcPr>
          <w:p>
            <w:r>
              <w:t>3 May 2026</w:t>
            </w:r>
          </w:p>
        </w:tc>
        <w:tc>
          <w:tcPr>
            <w:tcW w:type="dxa" w:w="2074"/>
          </w:tcPr>
          <w:p>
            <w:r>
              <w:t>31 May 2026</w:t>
            </w:r>
          </w:p>
        </w:tc>
      </w:tr>
      <w:tr>
        <w:tc>
          <w:tcPr>
            <w:tcW w:type="dxa" w:w="2074"/>
          </w:tcPr>
          <w:p>
            <w:r>
              <w:t>Jun-26</w:t>
            </w:r>
          </w:p>
        </w:tc>
        <w:tc>
          <w:tcPr>
            <w:tcW w:type="dxa" w:w="2074"/>
          </w:tcPr>
          <w:p>
            <w:r>
              <w:t>12,868</w:t>
            </w:r>
          </w:p>
        </w:tc>
        <w:tc>
          <w:tcPr>
            <w:tcW w:type="dxa" w:w="2074"/>
          </w:tcPr>
          <w:p>
            <w:r>
              <w:t>₹31,42,78,773.47</w:t>
            </w:r>
          </w:p>
        </w:tc>
        <w:tc>
          <w:tcPr>
            <w:tcW w:type="dxa" w:w="2074"/>
          </w:tcPr>
          <w:p>
            <w:r>
              <w:t>1 Jun 2026</w:t>
            </w:r>
          </w:p>
        </w:tc>
        <w:tc>
          <w:tcPr>
            <w:tcW w:type="dxa" w:w="2074"/>
          </w:tcPr>
          <w:p>
            <w:r>
              <w:t>30 Jun 2026</w:t>
            </w:r>
          </w:p>
        </w:tc>
      </w:tr>
      <w:tr>
        <w:tc>
          <w:tcPr>
            <w:tcW w:type="dxa" w:w="2074"/>
          </w:tcPr>
          <w:p>
            <w:r>
              <w:t>Jul-26</w:t>
            </w:r>
          </w:p>
        </w:tc>
        <w:tc>
          <w:tcPr>
            <w:tcW w:type="dxa" w:w="2074"/>
          </w:tcPr>
          <w:p>
            <w:r>
              <w:t>13,803</w:t>
            </w:r>
          </w:p>
        </w:tc>
        <w:tc>
          <w:tcPr>
            <w:tcW w:type="dxa" w:w="2074"/>
          </w:tcPr>
          <w:p>
            <w:r>
              <w:t>₹32,10,28,904.63</w:t>
            </w:r>
          </w:p>
        </w:tc>
        <w:tc>
          <w:tcPr>
            <w:tcW w:type="dxa" w:w="2074"/>
          </w:tcPr>
          <w:p>
            <w:r>
              <w:t>2 Jul 2026</w:t>
            </w:r>
          </w:p>
        </w:tc>
        <w:tc>
          <w:tcPr>
            <w:tcW w:type="dxa" w:w="2074"/>
          </w:tcPr>
          <w:p>
            <w:r>
              <w:t>31 Jul 2026</w:t>
            </w:r>
          </w:p>
        </w:tc>
      </w:tr>
      <w:tr>
        <w:tc>
          <w:tcPr>
            <w:tcW w:type="dxa" w:w="2074"/>
          </w:tcPr>
          <w:p>
            <w:r>
              <w:t>Aug-26</w:t>
            </w:r>
          </w:p>
        </w:tc>
        <w:tc>
          <w:tcPr>
            <w:tcW w:type="dxa" w:w="2074"/>
          </w:tcPr>
          <w:p>
            <w:r>
              <w:t>12,878</w:t>
            </w:r>
          </w:p>
        </w:tc>
        <w:tc>
          <w:tcPr>
            <w:tcW w:type="dxa" w:w="2074"/>
          </w:tcPr>
          <w:p>
            <w:r>
              <w:t>₹30,42,28,618.69</w:t>
            </w:r>
          </w:p>
        </w:tc>
        <w:tc>
          <w:tcPr>
            <w:tcW w:type="dxa" w:w="2074"/>
          </w:tcPr>
          <w:p>
            <w:r>
              <w:t>3 Aug 2026</w:t>
            </w:r>
          </w:p>
        </w:tc>
        <w:tc>
          <w:tcPr>
            <w:tcW w:type="dxa" w:w="2074"/>
          </w:tcPr>
          <w:p>
            <w:r>
              <w:t>31 Aug 2026</w:t>
            </w:r>
          </w:p>
        </w:tc>
      </w:tr>
      <w:tr>
        <w:tc>
          <w:tcPr>
            <w:tcW w:type="dxa" w:w="2074"/>
          </w:tcPr>
          <w:p>
            <w:r>
              <w:t>Sep-26</w:t>
            </w:r>
          </w:p>
        </w:tc>
        <w:tc>
          <w:tcPr>
            <w:tcW w:type="dxa" w:w="2074"/>
          </w:tcPr>
          <w:p>
            <w:r>
              <w:t>122</w:t>
            </w:r>
          </w:p>
        </w:tc>
        <w:tc>
          <w:tcPr>
            <w:tcW w:type="dxa" w:w="2074"/>
          </w:tcPr>
          <w:p>
            <w:r>
              <w:t>₹69,00,063.28</w:t>
            </w:r>
          </w:p>
        </w:tc>
        <w:tc>
          <w:tcPr>
            <w:tcW w:type="dxa" w:w="2074"/>
          </w:tcPr>
          <w:p>
            <w:r>
              <w:t>2 Sep 2026</w:t>
            </w:r>
          </w:p>
        </w:tc>
        <w:tc>
          <w:tcPr>
            <w:tcW w:type="dxa" w:w="2074"/>
          </w:tcPr>
          <w:p>
            <w:r>
              <w:t>7 Sep 2026</w:t>
            </w:r>
          </w:p>
        </w:tc>
      </w:tr>
    </w:tbl>
    <w:p>
      <w:pPr>
        <w:pStyle w:val="Title"/>
        <w:jc w:val="center"/>
      </w:pPr>
      <w:r>
        <w:t>B. Direct Live Google Sheet Totals</w:t>
      </w:r>
    </w:p>
    <w:p>
      <w:r>
        <w:t>Source spreadsheet:</w:t>
      </w:r>
    </w:p>
    <w:p>
      <w:r/>
      <w:r>
        <w:rPr>
          <w:b/>
        </w:rPr>
        <w:t>19LQGpkbZiecGaXdBvl48rPZT2LUz3sKekeKX5fHu7Ps</w:t>
      </w:r>
      <w:r/>
    </w:p>
    <w:p>
      <w:r>
        <w:t>Exact tabs:</w:t>
      </w:r>
    </w:p>
    <w:p>
      <w:pPr>
        <w:pStyle w:val="ListBullet"/>
      </w:pPr>
      <w:r>
        <w:t>Apr</w:t>
      </w:r>
    </w:p>
    <w:p>
      <w:pPr>
        <w:pStyle w:val="ListBullet"/>
      </w:pPr>
      <w:r>
        <w:t>May</w:t>
      </w:r>
    </w:p>
    <w:p>
      <w:pPr>
        <w:pStyle w:val="ListBullet"/>
      </w:pPr>
      <w:r>
        <w:t>Jun</w:t>
      </w:r>
    </w:p>
    <w:p>
      <w:pPr>
        <w:pStyle w:val="ListBullet"/>
      </w:pPr>
      <w:r>
        <w:t>July</w:t>
      </w:r>
    </w:p>
    <w:p>
      <w:pPr>
        <w:pStyle w:val="ListBullet"/>
      </w:pPr>
      <w:r>
        <w:t>Aug</w:t>
      </w:r>
    </w:p>
    <w:p>
      <w:pPr>
        <w:pStyle w:val="ListBullet"/>
      </w:pPr>
      <w:r>
        <w:t>Sep</w:t>
      </w:r>
    </w:p>
    <w:p>
      <w:r>
        <w:t>Amount column:</w:t>
      </w:r>
    </w:p>
    <w:p>
      <w:pPr>
        <w:pStyle w:val="ListBullet"/>
      </w:pPr>
      <w:r/>
      <w:r>
        <w:rPr>
          <w:b/>
        </w:rPr>
        <w:t>Column:</w:t>
      </w:r>
      <w:r>
        <w:t xml:space="preserve"> M</w:t>
      </w:r>
    </w:p>
    <w:p>
      <w:pPr>
        <w:pStyle w:val="ListBullet"/>
      </w:pPr>
      <w:r/>
      <w:r>
        <w:rPr>
          <w:b/>
        </w:rPr>
        <w:t>Header:</w:t>
      </w:r>
      <w:r>
        <w:t xml:space="preserve"> Taxable Value</w:t>
      </w:r>
    </w:p>
    <w:p>
      <w:pPr>
        <w:pStyle w:val="ListBullet"/>
      </w:pPr>
      <w:r/>
      <w:r>
        <w:rPr>
          <w:b/>
        </w:rPr>
        <w:t>Normalized header:</w:t>
      </w:r>
      <w:r>
        <w:t xml:space="preserve"> TAXABLEVALUE</w:t>
      </w:r>
    </w:p>
    <w:p>
      <w:r>
        <w:t>The following is a direct raw sheet measurement. Every post-header row was counted and every numeric column-M value was summed. No loader filtering, deduplication, month parsing, or date parsing was applied.</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rPr>
              <w:t>Tab</w:t>
            </w:r>
          </w:p>
        </w:tc>
        <w:tc>
          <w:tcPr>
            <w:tcW w:type="dxa" w:w="2074"/>
          </w:tcPr>
          <w:p>
            <w:r>
              <w:rPr>
                <w:b/>
              </w:rPr>
              <w:t>Total populated rows</w:t>
            </w:r>
          </w:p>
        </w:tc>
        <w:tc>
          <w:tcPr>
            <w:tcW w:type="dxa" w:w="2074"/>
          </w:tcPr>
          <w:p>
            <w:r>
              <w:rPr>
                <w:b/>
              </w:rPr>
              <w:t>Header rows</w:t>
            </w:r>
          </w:p>
        </w:tc>
        <w:tc>
          <w:tcPr>
            <w:tcW w:type="dxa" w:w="2074"/>
          </w:tcPr>
          <w:p>
            <w:r>
              <w:rPr>
                <w:b/>
              </w:rPr>
              <w:t>Raw data rows</w:t>
            </w:r>
          </w:p>
        </w:tc>
        <w:tc>
          <w:tcPr>
            <w:tcW w:type="dxa" w:w="2074"/>
          </w:tcPr>
          <w:p>
            <w:r>
              <w:rPr>
                <w:b/>
              </w:rPr>
              <w:t>Raw SUM(M)</w:t>
            </w:r>
          </w:p>
        </w:tc>
      </w:tr>
      <w:tr>
        <w:tc>
          <w:tcPr>
            <w:tcW w:type="dxa" w:w="2074"/>
          </w:tcPr>
          <w:p>
            <w:r>
              <w:t>Apr</w:t>
            </w:r>
          </w:p>
        </w:tc>
        <w:tc>
          <w:tcPr>
            <w:tcW w:type="dxa" w:w="2074"/>
          </w:tcPr>
          <w:p>
            <w:r>
              <w:t>5,543</w:t>
            </w:r>
          </w:p>
        </w:tc>
        <w:tc>
          <w:tcPr>
            <w:tcW w:type="dxa" w:w="2074"/>
          </w:tcPr>
          <w:p>
            <w:r>
              <w:t>1</w:t>
            </w:r>
          </w:p>
        </w:tc>
        <w:tc>
          <w:tcPr>
            <w:tcW w:type="dxa" w:w="2074"/>
          </w:tcPr>
          <w:p>
            <w:r>
              <w:t>5,542</w:t>
            </w:r>
          </w:p>
        </w:tc>
        <w:tc>
          <w:tcPr>
            <w:tcW w:type="dxa" w:w="2074"/>
          </w:tcPr>
          <w:p>
            <w:r>
              <w:t>₹13,10,81,249.77</w:t>
            </w:r>
          </w:p>
        </w:tc>
      </w:tr>
      <w:tr>
        <w:tc>
          <w:tcPr>
            <w:tcW w:type="dxa" w:w="2074"/>
          </w:tcPr>
          <w:p>
            <w:r>
              <w:t>May</w:t>
            </w:r>
          </w:p>
        </w:tc>
        <w:tc>
          <w:tcPr>
            <w:tcW w:type="dxa" w:w="2074"/>
          </w:tcPr>
          <w:p>
            <w:r>
              <w:t>11,813</w:t>
            </w:r>
          </w:p>
        </w:tc>
        <w:tc>
          <w:tcPr>
            <w:tcW w:type="dxa" w:w="2074"/>
          </w:tcPr>
          <w:p>
            <w:r>
              <w:t>1</w:t>
            </w:r>
          </w:p>
        </w:tc>
        <w:tc>
          <w:tcPr>
            <w:tcW w:type="dxa" w:w="2074"/>
          </w:tcPr>
          <w:p>
            <w:r>
              <w:t>11,812</w:t>
            </w:r>
          </w:p>
        </w:tc>
        <w:tc>
          <w:tcPr>
            <w:tcW w:type="dxa" w:w="2074"/>
          </w:tcPr>
          <w:p>
            <w:r>
              <w:t>₹28,27,83,021.58</w:t>
            </w:r>
          </w:p>
        </w:tc>
      </w:tr>
      <w:tr>
        <w:tc>
          <w:tcPr>
            <w:tcW w:type="dxa" w:w="2074"/>
          </w:tcPr>
          <w:p>
            <w:r>
              <w:t>Jun</w:t>
            </w:r>
          </w:p>
        </w:tc>
        <w:tc>
          <w:tcPr>
            <w:tcW w:type="dxa" w:w="2074"/>
          </w:tcPr>
          <w:p>
            <w:r>
              <w:t>12,849</w:t>
            </w:r>
          </w:p>
        </w:tc>
        <w:tc>
          <w:tcPr>
            <w:tcW w:type="dxa" w:w="2074"/>
          </w:tcPr>
          <w:p>
            <w:r>
              <w:t>1</w:t>
            </w:r>
          </w:p>
        </w:tc>
        <w:tc>
          <w:tcPr>
            <w:tcW w:type="dxa" w:w="2074"/>
          </w:tcPr>
          <w:p>
            <w:r>
              <w:t>12,848</w:t>
            </w:r>
          </w:p>
        </w:tc>
        <w:tc>
          <w:tcPr>
            <w:tcW w:type="dxa" w:w="2074"/>
          </w:tcPr>
          <w:p>
            <w:r>
              <w:t>₹31,37,95,962.53</w:t>
            </w:r>
          </w:p>
        </w:tc>
      </w:tr>
      <w:tr>
        <w:tc>
          <w:tcPr>
            <w:tcW w:type="dxa" w:w="2074"/>
          </w:tcPr>
          <w:p>
            <w:r>
              <w:t>July</w:t>
            </w:r>
          </w:p>
        </w:tc>
        <w:tc>
          <w:tcPr>
            <w:tcW w:type="dxa" w:w="2074"/>
          </w:tcPr>
          <w:p>
            <w:r>
              <w:t>13,768</w:t>
            </w:r>
          </w:p>
        </w:tc>
        <w:tc>
          <w:tcPr>
            <w:tcW w:type="dxa" w:w="2074"/>
          </w:tcPr>
          <w:p>
            <w:r>
              <w:t>1</w:t>
            </w:r>
          </w:p>
        </w:tc>
        <w:tc>
          <w:tcPr>
            <w:tcW w:type="dxa" w:w="2074"/>
          </w:tcPr>
          <w:p>
            <w:r>
              <w:t>13,767</w:t>
            </w:r>
          </w:p>
        </w:tc>
        <w:tc>
          <w:tcPr>
            <w:tcW w:type="dxa" w:w="2074"/>
          </w:tcPr>
          <w:p>
            <w:r>
              <w:t>₹32,04,67,052.63</w:t>
            </w:r>
          </w:p>
        </w:tc>
      </w:tr>
      <w:tr>
        <w:tc>
          <w:tcPr>
            <w:tcW w:type="dxa" w:w="2074"/>
          </w:tcPr>
          <w:p>
            <w:r>
              <w:t>Aug</w:t>
            </w:r>
          </w:p>
        </w:tc>
        <w:tc>
          <w:tcPr>
            <w:tcW w:type="dxa" w:w="2074"/>
          </w:tcPr>
          <w:p>
            <w:r>
              <w:t>12,872</w:t>
            </w:r>
          </w:p>
        </w:tc>
        <w:tc>
          <w:tcPr>
            <w:tcW w:type="dxa" w:w="2074"/>
          </w:tcPr>
          <w:p>
            <w:r>
              <w:t>1</w:t>
            </w:r>
          </w:p>
        </w:tc>
        <w:tc>
          <w:tcPr>
            <w:tcW w:type="dxa" w:w="2074"/>
          </w:tcPr>
          <w:p>
            <w:r>
              <w:t>12,871</w:t>
            </w:r>
          </w:p>
        </w:tc>
        <w:tc>
          <w:tcPr>
            <w:tcW w:type="dxa" w:w="2074"/>
          </w:tcPr>
          <w:p>
            <w:r>
              <w:t>₹30,42,00,894.69</w:t>
            </w:r>
          </w:p>
        </w:tc>
      </w:tr>
      <w:tr>
        <w:tc>
          <w:tcPr>
            <w:tcW w:type="dxa" w:w="2074"/>
          </w:tcPr>
          <w:p>
            <w:r>
              <w:t>Sep</w:t>
            </w:r>
          </w:p>
        </w:tc>
        <w:tc>
          <w:tcPr>
            <w:tcW w:type="dxa" w:w="2074"/>
          </w:tcPr>
          <w:p>
            <w:r>
              <w:t>123</w:t>
            </w:r>
          </w:p>
        </w:tc>
        <w:tc>
          <w:tcPr>
            <w:tcW w:type="dxa" w:w="2074"/>
          </w:tcPr>
          <w:p>
            <w:r>
              <w:t>1</w:t>
            </w:r>
          </w:p>
        </w:tc>
        <w:tc>
          <w:tcPr>
            <w:tcW w:type="dxa" w:w="2074"/>
          </w:tcPr>
          <w:p>
            <w:r>
              <w:t>122</w:t>
            </w:r>
          </w:p>
        </w:tc>
        <w:tc>
          <w:tcPr>
            <w:tcW w:type="dxa" w:w="2074"/>
          </w:tcPr>
          <w:p>
            <w:r>
              <w:t>₹69,00,063.28</w:t>
            </w:r>
          </w:p>
        </w:tc>
      </w:tr>
    </w:tbl>
    <w:p>
      <w:r>
        <w:t>There are no blank post-header rows, nonnumeric Taxable Value cells, or apparent total rows in these tabs.</w:t>
      </w:r>
    </w:p>
    <w:p>
      <w:pPr>
        <w:pStyle w:val="Title"/>
        <w:jc w:val="center"/>
      </w:pPr>
      <w:r>
        <w:t>C. Database vs Live Sheet</w:t>
      </w:r>
    </w:p>
    <w:p>
      <w:r>
        <w:t>Differences are production database minus live Google Sheet.</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Month</w:t>
            </w:r>
          </w:p>
        </w:tc>
        <w:tc>
          <w:tcPr>
            <w:tcW w:type="dxa" w:w="1481"/>
          </w:tcPr>
          <w:p>
            <w:r>
              <w:rPr>
                <w:b/>
              </w:rPr>
              <w:t>DB rows</w:t>
            </w:r>
          </w:p>
        </w:tc>
        <w:tc>
          <w:tcPr>
            <w:tcW w:type="dxa" w:w="1481"/>
          </w:tcPr>
          <w:p>
            <w:r>
              <w:rPr>
                <w:b/>
              </w:rPr>
              <w:t>Sheet rows</w:t>
            </w:r>
          </w:p>
        </w:tc>
        <w:tc>
          <w:tcPr>
            <w:tcW w:type="dxa" w:w="1481"/>
          </w:tcPr>
          <w:p>
            <w:r>
              <w:rPr>
                <w:b/>
              </w:rPr>
              <w:t>Row difference</w:t>
            </w:r>
          </w:p>
        </w:tc>
        <w:tc>
          <w:tcPr>
            <w:tcW w:type="dxa" w:w="1481"/>
          </w:tcPr>
          <w:p>
            <w:r>
              <w:rPr>
                <w:b/>
              </w:rPr>
              <w:t>DB amount</w:t>
            </w:r>
          </w:p>
        </w:tc>
        <w:tc>
          <w:tcPr>
            <w:tcW w:type="dxa" w:w="1481"/>
          </w:tcPr>
          <w:p>
            <w:r>
              <w:rPr>
                <w:b/>
              </w:rPr>
              <w:t>Sheet amount</w:t>
            </w:r>
          </w:p>
        </w:tc>
        <w:tc>
          <w:tcPr>
            <w:tcW w:type="dxa" w:w="1481"/>
          </w:tcPr>
          <w:p>
            <w:r>
              <w:rPr>
                <w:b/>
              </w:rPr>
              <w:t>Rupee difference</w:t>
            </w:r>
          </w:p>
        </w:tc>
      </w:tr>
      <w:tr>
        <w:tc>
          <w:tcPr>
            <w:tcW w:type="dxa" w:w="1481"/>
          </w:tcPr>
          <w:p>
            <w:r>
              <w:t>Apr-26</w:t>
            </w:r>
          </w:p>
        </w:tc>
        <w:tc>
          <w:tcPr>
            <w:tcW w:type="dxa" w:w="1481"/>
          </w:tcPr>
          <w:p>
            <w:r>
              <w:t>5,542</w:t>
            </w:r>
          </w:p>
        </w:tc>
        <w:tc>
          <w:tcPr>
            <w:tcW w:type="dxa" w:w="1481"/>
          </w:tcPr>
          <w:p>
            <w:r>
              <w:t>5,542</w:t>
            </w:r>
          </w:p>
        </w:tc>
        <w:tc>
          <w:tcPr>
            <w:tcW w:type="dxa" w:w="1481"/>
          </w:tcPr>
          <w:p>
            <w:r>
              <w:t>0</w:t>
            </w:r>
          </w:p>
        </w:tc>
        <w:tc>
          <w:tcPr>
            <w:tcW w:type="dxa" w:w="1481"/>
          </w:tcPr>
          <w:p>
            <w:r>
              <w:t>₹13,10,81,249.77</w:t>
            </w:r>
          </w:p>
        </w:tc>
        <w:tc>
          <w:tcPr>
            <w:tcW w:type="dxa" w:w="1481"/>
          </w:tcPr>
          <w:p>
            <w:r>
              <w:t>₹13,10,81,249.77</w:t>
            </w:r>
          </w:p>
        </w:tc>
        <w:tc>
          <w:tcPr>
            <w:tcW w:type="dxa" w:w="1481"/>
          </w:tcPr>
          <w:p>
            <w:r>
              <w:t>₹0.00</w:t>
            </w:r>
          </w:p>
        </w:tc>
      </w:tr>
      <w:tr>
        <w:tc>
          <w:tcPr>
            <w:tcW w:type="dxa" w:w="1481"/>
          </w:tcPr>
          <w:p>
            <w:r>
              <w:t>May-26</w:t>
            </w:r>
          </w:p>
        </w:tc>
        <w:tc>
          <w:tcPr>
            <w:tcW w:type="dxa" w:w="1481"/>
          </w:tcPr>
          <w:p>
            <w:r>
              <w:t>11,812</w:t>
            </w:r>
          </w:p>
        </w:tc>
        <w:tc>
          <w:tcPr>
            <w:tcW w:type="dxa" w:w="1481"/>
          </w:tcPr>
          <w:p>
            <w:r>
              <w:t>11,812</w:t>
            </w:r>
          </w:p>
        </w:tc>
        <w:tc>
          <w:tcPr>
            <w:tcW w:type="dxa" w:w="1481"/>
          </w:tcPr>
          <w:p>
            <w:r>
              <w:t>0</w:t>
            </w:r>
          </w:p>
        </w:tc>
        <w:tc>
          <w:tcPr>
            <w:tcW w:type="dxa" w:w="1481"/>
          </w:tcPr>
          <w:p>
            <w:r>
              <w:t>₹28,27,83,021.58</w:t>
            </w:r>
          </w:p>
        </w:tc>
        <w:tc>
          <w:tcPr>
            <w:tcW w:type="dxa" w:w="1481"/>
          </w:tcPr>
          <w:p>
            <w:r>
              <w:t>₹28,27,83,021.58</w:t>
            </w:r>
          </w:p>
        </w:tc>
        <w:tc>
          <w:tcPr>
            <w:tcW w:type="dxa" w:w="1481"/>
          </w:tcPr>
          <w:p>
            <w:r>
              <w:t>₹0.00</w:t>
            </w:r>
          </w:p>
        </w:tc>
      </w:tr>
      <w:tr>
        <w:tc>
          <w:tcPr>
            <w:tcW w:type="dxa" w:w="1481"/>
          </w:tcPr>
          <w:p>
            <w:r>
              <w:t>Jun-26</w:t>
            </w:r>
          </w:p>
        </w:tc>
        <w:tc>
          <w:tcPr>
            <w:tcW w:type="dxa" w:w="1481"/>
          </w:tcPr>
          <w:p>
            <w:r>
              <w:t>12,868</w:t>
            </w:r>
          </w:p>
        </w:tc>
        <w:tc>
          <w:tcPr>
            <w:tcW w:type="dxa" w:w="1481"/>
          </w:tcPr>
          <w:p>
            <w:r>
              <w:t>12,848</w:t>
            </w:r>
          </w:p>
        </w:tc>
        <w:tc>
          <w:tcPr>
            <w:tcW w:type="dxa" w:w="1481"/>
          </w:tcPr>
          <w:p>
            <w:r>
              <w:t>+20</w:t>
            </w:r>
          </w:p>
        </w:tc>
        <w:tc>
          <w:tcPr>
            <w:tcW w:type="dxa" w:w="1481"/>
          </w:tcPr>
          <w:p>
            <w:r>
              <w:t>₹31,42,78,773.47</w:t>
            </w:r>
          </w:p>
        </w:tc>
        <w:tc>
          <w:tcPr>
            <w:tcW w:type="dxa" w:w="1481"/>
          </w:tcPr>
          <w:p>
            <w:r>
              <w:t>₹31,37,95,962.53</w:t>
            </w:r>
          </w:p>
        </w:tc>
        <w:tc>
          <w:tcPr>
            <w:tcW w:type="dxa" w:w="1481"/>
          </w:tcPr>
          <w:p>
            <w:r>
              <w:t>+₹4,82,810.94</w:t>
            </w:r>
          </w:p>
        </w:tc>
      </w:tr>
      <w:tr>
        <w:tc>
          <w:tcPr>
            <w:tcW w:type="dxa" w:w="1481"/>
          </w:tcPr>
          <w:p>
            <w:r>
              <w:t>Jul-26</w:t>
            </w:r>
          </w:p>
        </w:tc>
        <w:tc>
          <w:tcPr>
            <w:tcW w:type="dxa" w:w="1481"/>
          </w:tcPr>
          <w:p>
            <w:r>
              <w:t>13,803</w:t>
            </w:r>
          </w:p>
        </w:tc>
        <w:tc>
          <w:tcPr>
            <w:tcW w:type="dxa" w:w="1481"/>
          </w:tcPr>
          <w:p>
            <w:r>
              <w:t>13,767</w:t>
            </w:r>
          </w:p>
        </w:tc>
        <w:tc>
          <w:tcPr>
            <w:tcW w:type="dxa" w:w="1481"/>
          </w:tcPr>
          <w:p>
            <w:r>
              <w:t>+36</w:t>
            </w:r>
          </w:p>
        </w:tc>
        <w:tc>
          <w:tcPr>
            <w:tcW w:type="dxa" w:w="1481"/>
          </w:tcPr>
          <w:p>
            <w:r>
              <w:t>₹32,10,28,904.63</w:t>
            </w:r>
          </w:p>
        </w:tc>
        <w:tc>
          <w:tcPr>
            <w:tcW w:type="dxa" w:w="1481"/>
          </w:tcPr>
          <w:p>
            <w:r>
              <w:t>₹32,04,67,052.63</w:t>
            </w:r>
          </w:p>
        </w:tc>
        <w:tc>
          <w:tcPr>
            <w:tcW w:type="dxa" w:w="1481"/>
          </w:tcPr>
          <w:p>
            <w:r>
              <w:t>+₹5,61,852.00</w:t>
            </w:r>
          </w:p>
        </w:tc>
      </w:tr>
      <w:tr>
        <w:tc>
          <w:tcPr>
            <w:tcW w:type="dxa" w:w="1481"/>
          </w:tcPr>
          <w:p>
            <w:r>
              <w:t>Aug-26</w:t>
            </w:r>
          </w:p>
        </w:tc>
        <w:tc>
          <w:tcPr>
            <w:tcW w:type="dxa" w:w="1481"/>
          </w:tcPr>
          <w:p>
            <w:r>
              <w:t>12,878</w:t>
            </w:r>
          </w:p>
        </w:tc>
        <w:tc>
          <w:tcPr>
            <w:tcW w:type="dxa" w:w="1481"/>
          </w:tcPr>
          <w:p>
            <w:r>
              <w:t>12,871</w:t>
            </w:r>
          </w:p>
        </w:tc>
        <w:tc>
          <w:tcPr>
            <w:tcW w:type="dxa" w:w="1481"/>
          </w:tcPr>
          <w:p>
            <w:r>
              <w:t>+7</w:t>
            </w:r>
          </w:p>
        </w:tc>
        <w:tc>
          <w:tcPr>
            <w:tcW w:type="dxa" w:w="1481"/>
          </w:tcPr>
          <w:p>
            <w:r>
              <w:t>₹30,42,28,618.69</w:t>
            </w:r>
          </w:p>
        </w:tc>
        <w:tc>
          <w:tcPr>
            <w:tcW w:type="dxa" w:w="1481"/>
          </w:tcPr>
          <w:p>
            <w:r>
              <w:t>₹30,42,00,894.69</w:t>
            </w:r>
          </w:p>
        </w:tc>
        <w:tc>
          <w:tcPr>
            <w:tcW w:type="dxa" w:w="1481"/>
          </w:tcPr>
          <w:p>
            <w:r>
              <w:t>+₹27,724.00</w:t>
            </w:r>
          </w:p>
        </w:tc>
      </w:tr>
      <w:tr>
        <w:tc>
          <w:tcPr>
            <w:tcW w:type="dxa" w:w="1481"/>
          </w:tcPr>
          <w:p>
            <w:r>
              <w:t>Sep-26</w:t>
            </w:r>
          </w:p>
        </w:tc>
        <w:tc>
          <w:tcPr>
            <w:tcW w:type="dxa" w:w="1481"/>
          </w:tcPr>
          <w:p>
            <w:r>
              <w:t>122</w:t>
            </w:r>
          </w:p>
        </w:tc>
        <w:tc>
          <w:tcPr>
            <w:tcW w:type="dxa" w:w="1481"/>
          </w:tcPr>
          <w:p>
            <w:r>
              <w:t>122</w:t>
            </w:r>
          </w:p>
        </w:tc>
        <w:tc>
          <w:tcPr>
            <w:tcW w:type="dxa" w:w="1481"/>
          </w:tcPr>
          <w:p>
            <w:r>
              <w:t>0</w:t>
            </w:r>
          </w:p>
        </w:tc>
        <w:tc>
          <w:tcPr>
            <w:tcW w:type="dxa" w:w="1481"/>
          </w:tcPr>
          <w:p>
            <w:r>
              <w:t>₹69,00,063.28</w:t>
            </w:r>
          </w:p>
        </w:tc>
        <w:tc>
          <w:tcPr>
            <w:tcW w:type="dxa" w:w="1481"/>
          </w:tcPr>
          <w:p>
            <w:r>
              <w:t>₹69,00,063.28</w:t>
            </w:r>
          </w:p>
        </w:tc>
        <w:tc>
          <w:tcPr>
            <w:tcW w:type="dxa" w:w="1481"/>
          </w:tcPr>
          <w:p>
            <w:r>
              <w:t>₹0.00</w:t>
            </w:r>
          </w:p>
        </w:tc>
      </w:tr>
    </w:tbl>
    <w:p>
      <w:pPr>
        <w:pStyle w:val="Title"/>
        <w:jc w:val="center"/>
      </w:pPr>
      <w:r>
        <w:t>D. Why the Months Differ</w:t>
      </w:r>
    </w:p>
    <w:p>
      <w:pPr>
        <w:pStyle w:val="Heading1"/>
      </w:pPr>
      <w:r>
        <w:t>D1. Loader Rejection or Quarantine</w:t>
      </w:r>
    </w:p>
    <w:p>
      <w:r>
        <w:t>The live rows were passed through the relevant parser logic in memory without writing them.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Tab</w:t>
            </w:r>
          </w:p>
        </w:tc>
        <w:tc>
          <w:tcPr>
            <w:tcW w:type="dxa" w:w="2592"/>
          </w:tcPr>
          <w:p>
            <w:r>
              <w:rPr>
                <w:b/>
              </w:rPr>
              <w:t>Raw data rows</w:t>
            </w:r>
          </w:p>
        </w:tc>
        <w:tc>
          <w:tcPr>
            <w:tcW w:type="dxa" w:w="2592"/>
          </w:tcPr>
          <w:p>
            <w:r>
              <w:rPr>
                <w:b/>
              </w:rPr>
              <w:t>Valid parsed rows</w:t>
            </w:r>
          </w:p>
        </w:tc>
        <w:tc>
          <w:tcPr>
            <w:tcW w:type="dxa" w:w="2592"/>
          </w:tcPr>
          <w:p>
            <w:r>
              <w:rPr>
                <w:b/>
              </w:rPr>
              <w:t>Rejected rows</w:t>
            </w:r>
          </w:p>
        </w:tc>
      </w:tr>
      <w:tr>
        <w:tc>
          <w:tcPr>
            <w:tcW w:type="dxa" w:w="2592"/>
          </w:tcPr>
          <w:p>
            <w:r>
              <w:t>Apr</w:t>
            </w:r>
          </w:p>
        </w:tc>
        <w:tc>
          <w:tcPr>
            <w:tcW w:type="dxa" w:w="2592"/>
          </w:tcPr>
          <w:p>
            <w:r>
              <w:t>5,542</w:t>
            </w:r>
          </w:p>
        </w:tc>
        <w:tc>
          <w:tcPr>
            <w:tcW w:type="dxa" w:w="2592"/>
          </w:tcPr>
          <w:p>
            <w:r>
              <w:t>5,542</w:t>
            </w:r>
          </w:p>
        </w:tc>
        <w:tc>
          <w:tcPr>
            <w:tcW w:type="dxa" w:w="2592"/>
          </w:tcPr>
          <w:p>
            <w:r>
              <w:t>0</w:t>
            </w:r>
          </w:p>
        </w:tc>
      </w:tr>
      <w:tr>
        <w:tc>
          <w:tcPr>
            <w:tcW w:type="dxa" w:w="2592"/>
          </w:tcPr>
          <w:p>
            <w:r>
              <w:t>May</w:t>
            </w:r>
          </w:p>
        </w:tc>
        <w:tc>
          <w:tcPr>
            <w:tcW w:type="dxa" w:w="2592"/>
          </w:tcPr>
          <w:p>
            <w:r>
              <w:t>11,812</w:t>
            </w:r>
          </w:p>
        </w:tc>
        <w:tc>
          <w:tcPr>
            <w:tcW w:type="dxa" w:w="2592"/>
          </w:tcPr>
          <w:p>
            <w:r>
              <w:t>11,812</w:t>
            </w:r>
          </w:p>
        </w:tc>
        <w:tc>
          <w:tcPr>
            <w:tcW w:type="dxa" w:w="2592"/>
          </w:tcPr>
          <w:p>
            <w:r>
              <w:t>0</w:t>
            </w:r>
          </w:p>
        </w:tc>
      </w:tr>
      <w:tr>
        <w:tc>
          <w:tcPr>
            <w:tcW w:type="dxa" w:w="2592"/>
          </w:tcPr>
          <w:p>
            <w:r>
              <w:t>Jun</w:t>
            </w:r>
          </w:p>
        </w:tc>
        <w:tc>
          <w:tcPr>
            <w:tcW w:type="dxa" w:w="2592"/>
          </w:tcPr>
          <w:p>
            <w:r>
              <w:t>12,848</w:t>
            </w:r>
          </w:p>
        </w:tc>
        <w:tc>
          <w:tcPr>
            <w:tcW w:type="dxa" w:w="2592"/>
          </w:tcPr>
          <w:p>
            <w:r>
              <w:t>12,848</w:t>
            </w:r>
          </w:p>
        </w:tc>
        <w:tc>
          <w:tcPr>
            <w:tcW w:type="dxa" w:w="2592"/>
          </w:tcPr>
          <w:p>
            <w:r>
              <w:t>0</w:t>
            </w:r>
          </w:p>
        </w:tc>
      </w:tr>
      <w:tr>
        <w:tc>
          <w:tcPr>
            <w:tcW w:type="dxa" w:w="2592"/>
          </w:tcPr>
          <w:p>
            <w:r>
              <w:t>July</w:t>
            </w:r>
          </w:p>
        </w:tc>
        <w:tc>
          <w:tcPr>
            <w:tcW w:type="dxa" w:w="2592"/>
          </w:tcPr>
          <w:p>
            <w:r>
              <w:t>13,767</w:t>
            </w:r>
          </w:p>
        </w:tc>
        <w:tc>
          <w:tcPr>
            <w:tcW w:type="dxa" w:w="2592"/>
          </w:tcPr>
          <w:p>
            <w:r>
              <w:t>13,767</w:t>
            </w:r>
          </w:p>
        </w:tc>
        <w:tc>
          <w:tcPr>
            <w:tcW w:type="dxa" w:w="2592"/>
          </w:tcPr>
          <w:p>
            <w:r>
              <w:t>0</w:t>
            </w:r>
          </w:p>
        </w:tc>
      </w:tr>
      <w:tr>
        <w:tc>
          <w:tcPr>
            <w:tcW w:type="dxa" w:w="2592"/>
          </w:tcPr>
          <w:p>
            <w:r>
              <w:t>Aug</w:t>
            </w:r>
          </w:p>
        </w:tc>
        <w:tc>
          <w:tcPr>
            <w:tcW w:type="dxa" w:w="2592"/>
          </w:tcPr>
          <w:p>
            <w:r>
              <w:t>12,871</w:t>
            </w:r>
          </w:p>
        </w:tc>
        <w:tc>
          <w:tcPr>
            <w:tcW w:type="dxa" w:w="2592"/>
          </w:tcPr>
          <w:p>
            <w:r>
              <w:t>12,871</w:t>
            </w:r>
          </w:p>
        </w:tc>
        <w:tc>
          <w:tcPr>
            <w:tcW w:type="dxa" w:w="2592"/>
          </w:tcPr>
          <w:p>
            <w:r>
              <w:t>0</w:t>
            </w:r>
          </w:p>
        </w:tc>
      </w:tr>
      <w:tr>
        <w:tc>
          <w:tcPr>
            <w:tcW w:type="dxa" w:w="2592"/>
          </w:tcPr>
          <w:p>
            <w:r>
              <w:t>Sep</w:t>
            </w:r>
          </w:p>
        </w:tc>
        <w:tc>
          <w:tcPr>
            <w:tcW w:type="dxa" w:w="2592"/>
          </w:tcPr>
          <w:p>
            <w:r>
              <w:t>122</w:t>
            </w:r>
          </w:p>
        </w:tc>
        <w:tc>
          <w:tcPr>
            <w:tcW w:type="dxa" w:w="2592"/>
          </w:tcPr>
          <w:p>
            <w:r>
              <w:t>122</w:t>
            </w:r>
          </w:p>
        </w:tc>
        <w:tc>
          <w:tcPr>
            <w:tcW w:type="dxa" w:w="2592"/>
          </w:tcPr>
          <w:p>
            <w:r>
              <w:t>0</w:t>
            </w:r>
          </w:p>
        </w:tc>
      </w:tr>
    </w:tbl>
    <w:p>
      <w:r>
        <w:t>Diagnostics across all six tabs:</w:t>
      </w:r>
    </w:p>
    <w:tbl>
      <w:tblPr>
        <w:tblStyle w:val="TableGrid"/>
        <w:tblW w:type="auto" w:w="0"/>
        <w:tblLook w:firstColumn="1" w:firstRow="1" w:lastColumn="0" w:lastRow="0" w:noHBand="0" w:noVBand="1" w:val="04A0"/>
      </w:tblPr>
      <w:tblGrid>
        <w:gridCol w:w="5184"/>
        <w:gridCol w:w="5184"/>
      </w:tblGrid>
      <w:tr>
        <w:tc>
          <w:tcPr>
            <w:tcW w:type="dxa" w:w="5184"/>
          </w:tcPr>
          <w:p>
            <w:r>
              <w:rPr>
                <w:b/>
              </w:rPr>
              <w:t>Condition</w:t>
            </w:r>
          </w:p>
        </w:tc>
        <w:tc>
          <w:tcPr>
            <w:tcW w:type="dxa" w:w="5184"/>
          </w:tcPr>
          <w:p>
            <w:r>
              <w:rPr>
                <w:b/>
              </w:rPr>
              <w:t>Rows</w:t>
            </w:r>
          </w:p>
        </w:tc>
      </w:tr>
      <w:tr>
        <w:tc>
          <w:tcPr>
            <w:tcW w:type="dxa" w:w="5184"/>
          </w:tcPr>
          <w:p>
            <w:r>
              <w:t>Missing item code</w:t>
            </w:r>
          </w:p>
        </w:tc>
        <w:tc>
          <w:tcPr>
            <w:tcW w:type="dxa" w:w="5184"/>
          </w:tcPr>
          <w:p>
            <w:r>
              <w:t>0</w:t>
            </w:r>
          </w:p>
        </w:tc>
      </w:tr>
      <w:tr>
        <w:tc>
          <w:tcPr>
            <w:tcW w:type="dxa" w:w="5184"/>
          </w:tcPr>
          <w:p>
            <w:r>
              <w:t>Missing or nonnumeric Taxable Value</w:t>
            </w:r>
          </w:p>
        </w:tc>
        <w:tc>
          <w:tcPr>
            <w:tcW w:type="dxa" w:w="5184"/>
          </w:tcPr>
          <w:p>
            <w:r>
              <w:t>0</w:t>
            </w:r>
          </w:p>
        </w:tc>
      </w:tr>
      <w:tr>
        <w:tc>
          <w:tcPr>
            <w:tcW w:type="dxa" w:w="5184"/>
          </w:tcPr>
          <w:p>
            <w:r>
              <w:t>Unlabelled month</w:t>
            </w:r>
          </w:p>
        </w:tc>
        <w:tc>
          <w:tcPr>
            <w:tcW w:type="dxa" w:w="5184"/>
          </w:tcPr>
          <w:p>
            <w:r>
              <w:t>0</w:t>
            </w:r>
          </w:p>
        </w:tc>
      </w:tr>
      <w:tr>
        <w:tc>
          <w:tcPr>
            <w:tcW w:type="dxa" w:w="5184"/>
          </w:tcPr>
          <w:p>
            <w:r>
              <w:t>Parsed month differs from tab</w:t>
            </w:r>
          </w:p>
        </w:tc>
        <w:tc>
          <w:tcPr>
            <w:tcW w:type="dxa" w:w="5184"/>
          </w:tcPr>
          <w:p>
            <w:r>
              <w:t>0</w:t>
            </w:r>
          </w:p>
        </w:tc>
      </w:tr>
      <w:tr>
        <w:tc>
          <w:tcPr>
            <w:tcW w:type="dxa" w:w="5184"/>
          </w:tcPr>
          <w:p>
            <w:r>
              <w:t>MONTH column differs from tab</w:t>
            </w:r>
          </w:p>
        </w:tc>
        <w:tc>
          <w:tcPr>
            <w:tcW w:type="dxa" w:w="5184"/>
          </w:tcPr>
          <w:p>
            <w:r>
              <w:t>0</w:t>
            </w:r>
          </w:p>
        </w:tc>
      </w:tr>
      <w:tr>
        <w:tc>
          <w:tcPr>
            <w:tcW w:type="dxa" w:w="5184"/>
          </w:tcPr>
          <w:p>
            <w:r>
              <w:t>Undated or unparseable date</w:t>
            </w:r>
          </w:p>
        </w:tc>
        <w:tc>
          <w:tcPr>
            <w:tcW w:type="dxa" w:w="5184"/>
          </w:tcPr>
          <w:p>
            <w:r>
              <w:t>0</w:t>
            </w:r>
          </w:p>
        </w:tc>
      </w:tr>
    </w:tbl>
    <w:p>
      <w:r>
        <w:t>The June, July, and August differences are not caused by loader rejection or quarantine.</w:t>
      </w:r>
    </w:p>
    <w:p>
      <w:pPr>
        <w:pStyle w:val="Heading1"/>
      </w:pPr>
      <w:r>
        <w:t>D2. Non-Current Database Versions</w:t>
      </w:r>
    </w:p>
    <w:p>
      <w:r>
        <w:t>Production sale_line_all contains no superseded or other non-current rows for the six FY2026–27 month labels.</w:t>
      </w:r>
    </w:p>
    <w:tbl>
      <w:tblPr>
        <w:tblStyle w:val="TableGrid"/>
        <w:tblW w:type="auto" w:w="0"/>
        <w:tblLook w:firstColumn="1" w:firstRow="1" w:lastColumn="0" w:lastRow="0" w:noHBand="0" w:noVBand="1" w:val="04A0"/>
      </w:tblPr>
      <w:tblGrid>
        <w:gridCol w:w="5184"/>
        <w:gridCol w:w="5184"/>
      </w:tblGrid>
      <w:tr>
        <w:tc>
          <w:tcPr>
            <w:tcW w:type="dxa" w:w="5184"/>
          </w:tcPr>
          <w:p>
            <w:r>
              <w:rPr>
                <w:b/>
              </w:rPr>
              <w:t>Month</w:t>
            </w:r>
          </w:p>
        </w:tc>
        <w:tc>
          <w:tcPr>
            <w:tcW w:type="dxa" w:w="5184"/>
          </w:tcPr>
          <w:p>
            <w:r>
              <w:rPr>
                <w:b/>
              </w:rPr>
              <w:t>Non-current rows</w:t>
            </w:r>
          </w:p>
        </w:tc>
      </w:tr>
      <w:tr>
        <w:tc>
          <w:tcPr>
            <w:tcW w:type="dxa" w:w="5184"/>
          </w:tcPr>
          <w:p>
            <w:r>
              <w:t>Apr-26</w:t>
            </w:r>
          </w:p>
        </w:tc>
        <w:tc>
          <w:tcPr>
            <w:tcW w:type="dxa" w:w="5184"/>
          </w:tcPr>
          <w:p>
            <w:r>
              <w:t>0</w:t>
            </w:r>
          </w:p>
        </w:tc>
      </w:tr>
      <w:tr>
        <w:tc>
          <w:tcPr>
            <w:tcW w:type="dxa" w:w="5184"/>
          </w:tcPr>
          <w:p>
            <w:r>
              <w:t>May-26</w:t>
            </w:r>
          </w:p>
        </w:tc>
        <w:tc>
          <w:tcPr>
            <w:tcW w:type="dxa" w:w="5184"/>
          </w:tcPr>
          <w:p>
            <w:r>
              <w:t>0</w:t>
            </w:r>
          </w:p>
        </w:tc>
      </w:tr>
      <w:tr>
        <w:tc>
          <w:tcPr>
            <w:tcW w:type="dxa" w:w="5184"/>
          </w:tcPr>
          <w:p>
            <w:r>
              <w:t>Jun-26</w:t>
            </w:r>
          </w:p>
        </w:tc>
        <w:tc>
          <w:tcPr>
            <w:tcW w:type="dxa" w:w="5184"/>
          </w:tcPr>
          <w:p>
            <w:r>
              <w:t>0</w:t>
            </w:r>
          </w:p>
        </w:tc>
      </w:tr>
      <w:tr>
        <w:tc>
          <w:tcPr>
            <w:tcW w:type="dxa" w:w="5184"/>
          </w:tcPr>
          <w:p>
            <w:r>
              <w:t>Jul-26</w:t>
            </w:r>
          </w:p>
        </w:tc>
        <w:tc>
          <w:tcPr>
            <w:tcW w:type="dxa" w:w="5184"/>
          </w:tcPr>
          <w:p>
            <w:r>
              <w:t>0</w:t>
            </w:r>
          </w:p>
        </w:tc>
      </w:tr>
      <w:tr>
        <w:tc>
          <w:tcPr>
            <w:tcW w:type="dxa" w:w="5184"/>
          </w:tcPr>
          <w:p>
            <w:r>
              <w:t>Aug-26</w:t>
            </w:r>
          </w:p>
        </w:tc>
        <w:tc>
          <w:tcPr>
            <w:tcW w:type="dxa" w:w="5184"/>
          </w:tcPr>
          <w:p>
            <w:r>
              <w:t>0</w:t>
            </w:r>
          </w:p>
        </w:tc>
      </w:tr>
      <w:tr>
        <w:tc>
          <w:tcPr>
            <w:tcW w:type="dxa" w:w="5184"/>
          </w:tcPr>
          <w:p>
            <w:r>
              <w:t>Sep-26</w:t>
            </w:r>
          </w:p>
        </w:tc>
        <w:tc>
          <w:tcPr>
            <w:tcW w:type="dxa" w:w="5184"/>
          </w:tcPr>
          <w:p>
            <w:r>
              <w:t>0</w:t>
            </w:r>
          </w:p>
        </w:tc>
      </w:tr>
    </w:tbl>
    <w:p>
      <w:r>
        <w:t>The discrepancies exist between current production and the current source. They are not hidden superseded duplicates.</w:t>
      </w:r>
    </w:p>
    <w:p>
      <w:pPr>
        <w:pStyle w:val="Heading1"/>
      </w:pPr>
      <w:r>
        <w:t>D3. Date Parsing and Tab/Month Mismatch</w:t>
      </w:r>
    </w:p>
    <w:p>
      <w:r>
        <w:t>The live sheet invoice dates are numeric Google Sheets or Excel date serials in column C. They are not text dates such as 01-06-2026.</w:t>
      </w:r>
    </w:p>
    <w:p>
      <w:r>
        <w:t>Therefore:</w:t>
      </w:r>
    </w:p>
    <w:p>
      <w:pPr>
        <w:pStyle w:val="ListBullet"/>
      </w:pPr>
      <w:r>
        <w:t>there are no DD-MM versus MM-DD textual ambiguities;</w:t>
      </w:r>
    </w:p>
    <w:p>
      <w:pPr>
        <w:pStyle w:val="ListBullet"/>
      </w:pPr>
      <w:r>
        <w:t>no day-1-to-12 locale swaps are present;</w:t>
      </w:r>
    </w:p>
    <w:p>
      <w:pPr>
        <w:pStyle w:val="ListBullet"/>
      </w:pPr>
      <w:r>
        <w:t>every row parses into the month represented by its source tab;</w:t>
      </w:r>
    </w:p>
    <w:p>
      <w:pPr>
        <w:pStyle w:val="ListBullet"/>
      </w:pPr>
      <w:r>
        <w:t>every populated MONTH value agrees with the tab;</w:t>
      </w:r>
    </w:p>
    <w:p>
      <w:pPr>
        <w:pStyle w:val="ListBullet"/>
      </w:pPr>
      <w:r>
        <w:t>no row is undated or unparseable.</w:t>
      </w:r>
    </w:p>
    <w:p>
      <w:r>
        <w:t>The project’s historical DD-MM/MM-DD problem is not involved here.</w:t>
      </w:r>
    </w:p>
    <w:p>
      <w:pPr>
        <w:pStyle w:val="Heading1"/>
      </w:pPr>
      <w:r>
        <w:t>D4. June and July</w:t>
      </w:r>
    </w:p>
    <w:p>
      <w:r>
        <w:t>June and July are confirmed frozen-source drift.</w:t>
      </w:r>
    </w:p>
    <w:p>
      <w:pPr>
        <w:pStyle w:val="Heading2"/>
      </w:pPr>
      <w:r>
        <w:t>June</w:t>
      </w:r>
    </w:p>
    <w:p>
      <w:pPr>
        <w:pStyle w:val="ListBullet"/>
      </w:pPr>
      <w:r/>
      <w:r>
        <w:rPr>
          <w:b/>
        </w:rPr>
        <w:t>Production:</w:t>
      </w:r>
      <w:r>
        <w:t xml:space="preserve"> 12,868 rows and ₹31,42,78,773.47</w:t>
      </w:r>
    </w:p>
    <w:p>
      <w:pPr>
        <w:pStyle w:val="ListBullet"/>
      </w:pPr>
      <w:r/>
      <w:r>
        <w:rPr>
          <w:b/>
        </w:rPr>
        <w:t>Live sheet:</w:t>
      </w:r>
      <w:r>
        <w:t xml:space="preserve"> 12,848 rows and ₹31,37,95,962.53</w:t>
      </w:r>
    </w:p>
    <w:p>
      <w:pPr>
        <w:pStyle w:val="ListBullet"/>
      </w:pPr>
      <w:r/>
      <w:r>
        <w:rPr>
          <w:b/>
        </w:rPr>
        <w:t>Difference:</w:t>
      </w:r>
      <w:r>
        <w:t xml:space="preserve"> +20 rows and +₹4,82,810.94</w:t>
      </w:r>
    </w:p>
    <w:p>
      <w:pPr>
        <w:pStyle w:val="ListBullet"/>
      </w:pPr>
      <w:r/>
      <w:r>
        <w:rPr>
          <w:b/>
        </w:rPr>
        <w:t>Frozen-drift status:</w:t>
      </w:r>
      <w:r>
        <w:t xml:space="preserve"> drift</w:t>
      </w:r>
    </w:p>
    <w:p>
      <w:pPr>
        <w:pStyle w:val="ListBullet"/>
      </w:pPr>
      <w:r/>
      <w:r>
        <w:rPr>
          <w:b/>
        </w:rPr>
        <w:t>Production frozen anchor:</w:t>
      </w:r>
      <w:r>
        <w:t xml:space="preserve"> 1 Aug 2026, 07:46:31 UTC</w:t>
      </w:r>
    </w:p>
    <w:p>
      <w:pPr>
        <w:pStyle w:val="Heading2"/>
      </w:pPr>
      <w:r>
        <w:t>July</w:t>
      </w:r>
    </w:p>
    <w:p>
      <w:pPr>
        <w:pStyle w:val="ListBullet"/>
      </w:pPr>
      <w:r/>
      <w:r>
        <w:rPr>
          <w:b/>
        </w:rPr>
        <w:t>Production:</w:t>
      </w:r>
      <w:r>
        <w:t xml:space="preserve"> 13,803 rows and ₹32,10,28,904.63</w:t>
      </w:r>
    </w:p>
    <w:p>
      <w:pPr>
        <w:pStyle w:val="ListBullet"/>
      </w:pPr>
      <w:r/>
      <w:r>
        <w:rPr>
          <w:b/>
        </w:rPr>
        <w:t>Live sheet:</w:t>
      </w:r>
      <w:r>
        <w:t xml:space="preserve"> 13,767 rows and ₹32,04,67,052.63</w:t>
      </w:r>
    </w:p>
    <w:p>
      <w:pPr>
        <w:pStyle w:val="ListBullet"/>
      </w:pPr>
      <w:r/>
      <w:r>
        <w:rPr>
          <w:b/>
        </w:rPr>
        <w:t>Difference:</w:t>
      </w:r>
      <w:r>
        <w:t xml:space="preserve"> +36 rows and +₹5,61,852.00</w:t>
      </w:r>
    </w:p>
    <w:p>
      <w:pPr>
        <w:pStyle w:val="ListBullet"/>
      </w:pPr>
      <w:r/>
      <w:r>
        <w:rPr>
          <w:b/>
        </w:rPr>
        <w:t>Frozen-drift status:</w:t>
      </w:r>
      <w:r>
        <w:t xml:space="preserve"> drift</w:t>
      </w:r>
    </w:p>
    <w:p>
      <w:pPr>
        <w:pStyle w:val="ListBullet"/>
      </w:pPr>
      <w:r/>
      <w:r>
        <w:rPr>
          <w:b/>
        </w:rPr>
        <w:t>Production frozen anchor:</w:t>
      </w:r>
      <w:r>
        <w:t xml:space="preserve"> 8 Aug 2026, 04:17:32 UTC</w:t>
      </w:r>
    </w:p>
    <w:p>
      <w:r>
        <w:t>The current sheet contains fewer rows than the production state that was frozen. Ordinary monthly replacement deliberately refuses to overwrite anchored months. This is source drift after database settlement, not parser loss.</w:t>
      </w:r>
    </w:p>
    <w:p>
      <w:pPr>
        <w:pStyle w:val="Heading1"/>
      </w:pPr>
      <w:r>
        <w:t>D5. August</w:t>
      </w:r>
    </w:p>
    <w:p>
      <w:r>
        <w:t>Current production state:</w:t>
      </w:r>
    </w:p>
    <w:p>
      <w:pPr>
        <w:pStyle w:val="ListBullet"/>
      </w:pPr>
      <w:r/>
      <w:r>
        <w:rPr>
          <w:b/>
        </w:rPr>
        <w:t>Rows:</w:t>
      </w:r>
      <w:r>
        <w:t xml:space="preserve"> 12,878</w:t>
      </w:r>
    </w:p>
    <w:p>
      <w:pPr>
        <w:pStyle w:val="ListBullet"/>
      </w:pPr>
      <w:r/>
      <w:r>
        <w:rPr>
          <w:b/>
        </w:rPr>
        <w:t>Value:</w:t>
      </w:r>
      <w:r>
        <w:t xml:space="preserve"> ₹30,42,28,618.69</w:t>
      </w:r>
    </w:p>
    <w:p>
      <w:pPr>
        <w:pStyle w:val="ListBullet"/>
      </w:pPr>
      <w:r/>
      <w:r>
        <w:rPr>
          <w:b/>
        </w:rPr>
        <w:t>Last replaced:</w:t>
      </w:r>
      <w:r>
        <w:t xml:space="preserve"> 6 Sep 2026, 09:33:08 UTC</w:t>
      </w:r>
    </w:p>
    <w:p>
      <w:r>
        <w:t>Current live source:</w:t>
      </w:r>
    </w:p>
    <w:p>
      <w:pPr>
        <w:pStyle w:val="ListBullet"/>
      </w:pPr>
      <w:r/>
      <w:r>
        <w:rPr>
          <w:b/>
        </w:rPr>
        <w:t>Rows:</w:t>
      </w:r>
      <w:r>
        <w:t xml:space="preserve"> 12,871</w:t>
      </w:r>
    </w:p>
    <w:p>
      <w:pPr>
        <w:pStyle w:val="ListBullet"/>
      </w:pPr>
      <w:r/>
      <w:r>
        <w:rPr>
          <w:b/>
        </w:rPr>
        <w:t>Value:</w:t>
      </w:r>
      <w:r>
        <w:t xml:space="preserve"> ₹30,42,00,894.69</w:t>
      </w:r>
    </w:p>
    <w:p>
      <w:r>
        <w:t>Difference:</w:t>
      </w:r>
    </w:p>
    <w:p>
      <w:pPr>
        <w:pStyle w:val="ListBullet"/>
      </w:pPr>
      <w:r/>
      <w:r>
        <w:rPr>
          <w:b/>
        </w:rPr>
        <w:t>Rows:</w:t>
      </w:r>
      <w:r>
        <w:t xml:space="preserve"> production ahead by 7</w:t>
      </w:r>
    </w:p>
    <w:p>
      <w:pPr>
        <w:pStyle w:val="ListBullet"/>
      </w:pPr>
      <w:r/>
      <w:r>
        <w:rPr>
          <w:b/>
        </w:rPr>
        <w:t>Value:</w:t>
      </w:r>
      <w:r>
        <w:t xml:space="preserve"> production ahead by ₹27,724.00</w:t>
      </w:r>
    </w:p>
    <w:p>
      <w:r>
        <w:t>The latest register run read and parsed all 12,871 current August rows and recorded zero skipped rows. The difference is not a parsing or rejection issue.</w:t>
      </w:r>
    </w:p>
    <w:p>
      <w:r>
        <w:t>August was not replaced because its source was below its last-good production baseline at the freeze transition. The strict freeze-transition guard refuses even a one-row reduction. Only September’s 122 rows were written during the latest run.</w:t>
      </w:r>
    </w:p>
    <w:p>
      <w:r>
        <w:t>Unlike June and July, August has no persisted frozen anchor and no frozen-drift-check record. It is calendar-frozen but unanchored. Its source difference was observed but not adopted.</w:t>
      </w:r>
    </w:p>
    <w:p>
      <w:pPr>
        <w:pStyle w:val="Title"/>
        <w:jc w:val="center"/>
      </w:pPr>
      <w:r>
        <w:t>E. Last FY2026–27 Register Sync</w:t>
      </w:r>
    </w:p>
    <w:p>
      <w:r>
        <w:t>Latest successful durable register run:</w:t>
      </w:r>
    </w:p>
    <w:p>
      <w:pPr>
        <w:pStyle w:val="ListBullet"/>
      </w:pPr>
      <w:r/>
      <w:r>
        <w:rPr>
          <w:b/>
        </w:rPr>
        <w:t>Source:</w:t>
      </w:r>
      <w:r>
        <w:t xml:space="preserve"> production ingest_run</w:t>
      </w:r>
    </w:p>
    <w:p>
      <w:pPr>
        <w:pStyle w:val="ListBullet"/>
      </w:pPr>
      <w:r/>
      <w:r>
        <w:rPr>
          <w:b/>
        </w:rPr>
        <w:t>Run ID:</w:t>
      </w:r>
      <w:r>
        <w:t xml:space="preserve"> 369</w:t>
      </w:r>
    </w:p>
    <w:p>
      <w:pPr>
        <w:pStyle w:val="ListBullet"/>
      </w:pPr>
      <w:r/>
      <w:r>
        <w:rPr>
          <w:b/>
        </w:rPr>
        <w:t>Source type:</w:t>
      </w:r>
      <w:r>
        <w:t xml:space="preserve"> register_sheets_sync</w:t>
      </w:r>
    </w:p>
    <w:p>
      <w:pPr>
        <w:pStyle w:val="ListBullet"/>
      </w:pPr>
      <w:r/>
      <w:r>
        <w:rPr>
          <w:b/>
        </w:rPr>
        <w:t>Started:</w:t>
      </w:r>
      <w:r>
        <w:t xml:space="preserve"> 7 Sep 2026, 09:32:44.793 UTC</w:t>
      </w:r>
    </w:p>
    <w:p>
      <w:pPr>
        <w:pStyle w:val="ListBullet"/>
      </w:pPr>
      <w:r/>
      <w:r>
        <w:rPr>
          <w:b/>
        </w:rPr>
        <w:t>Status:</w:t>
      </w:r>
      <w:r>
        <w:t xml:space="preserve"> ok</w:t>
      </w:r>
    </w:p>
    <w:p>
      <w:pPr>
        <w:pStyle w:val="ListBullet"/>
      </w:pPr>
      <w:r/>
      <w:r>
        <w:rPr>
          <w:b/>
        </w:rPr>
        <w:t>Rows read:</w:t>
      </w:r>
      <w:r>
        <w:t xml:space="preserve"> 56,962</w:t>
      </w:r>
    </w:p>
    <w:p>
      <w:pPr>
        <w:pStyle w:val="ListBullet"/>
      </w:pPr>
      <w:r/>
      <w:r>
        <w:rPr>
          <w:b/>
        </w:rPr>
        <w:t>Rows skipped:</w:t>
      </w:r>
      <w:r>
        <w:t xml:space="preserve"> 0</w:t>
      </w:r>
    </w:p>
    <w:p>
      <w:r>
        <w:t>Per-month source observations:</w:t>
      </w:r>
    </w:p>
    <w:tbl>
      <w:tblPr>
        <w:tblStyle w:val="TableGrid"/>
        <w:tblW w:type="auto" w:w="0"/>
        <w:tblLook w:firstColumn="1" w:firstRow="1" w:lastColumn="0" w:lastRow="0" w:noHBand="0" w:noVBand="1" w:val="04A0"/>
      </w:tblPr>
      <w:tblGrid>
        <w:gridCol w:w="5184"/>
        <w:gridCol w:w="5184"/>
      </w:tblGrid>
      <w:tr>
        <w:tc>
          <w:tcPr>
            <w:tcW w:type="dxa" w:w="5184"/>
          </w:tcPr>
          <w:p>
            <w:r>
              <w:rPr>
                <w:b/>
              </w:rPr>
              <w:t>Month</w:t>
            </w:r>
          </w:p>
        </w:tc>
        <w:tc>
          <w:tcPr>
            <w:tcW w:type="dxa" w:w="5184"/>
          </w:tcPr>
          <w:p>
            <w:r>
              <w:rPr>
                <w:b/>
              </w:rPr>
              <w:t>Rows read</w:t>
            </w:r>
          </w:p>
        </w:tc>
      </w:tr>
      <w:tr>
        <w:tc>
          <w:tcPr>
            <w:tcW w:type="dxa" w:w="5184"/>
          </w:tcPr>
          <w:p>
            <w:r>
              <w:t>Apr-26</w:t>
            </w:r>
          </w:p>
        </w:tc>
        <w:tc>
          <w:tcPr>
            <w:tcW w:type="dxa" w:w="5184"/>
          </w:tcPr>
          <w:p>
            <w:r>
              <w:t>5,542</w:t>
            </w:r>
          </w:p>
        </w:tc>
      </w:tr>
      <w:tr>
        <w:tc>
          <w:tcPr>
            <w:tcW w:type="dxa" w:w="5184"/>
          </w:tcPr>
          <w:p>
            <w:r>
              <w:t>May-26</w:t>
            </w:r>
          </w:p>
        </w:tc>
        <w:tc>
          <w:tcPr>
            <w:tcW w:type="dxa" w:w="5184"/>
          </w:tcPr>
          <w:p>
            <w:r>
              <w:t>11,812</w:t>
            </w:r>
          </w:p>
        </w:tc>
      </w:tr>
      <w:tr>
        <w:tc>
          <w:tcPr>
            <w:tcW w:type="dxa" w:w="5184"/>
          </w:tcPr>
          <w:p>
            <w:r>
              <w:t>Jun-26</w:t>
            </w:r>
          </w:p>
        </w:tc>
        <w:tc>
          <w:tcPr>
            <w:tcW w:type="dxa" w:w="5184"/>
          </w:tcPr>
          <w:p>
            <w:r>
              <w:t>12,848</w:t>
            </w:r>
          </w:p>
        </w:tc>
      </w:tr>
      <w:tr>
        <w:tc>
          <w:tcPr>
            <w:tcW w:type="dxa" w:w="5184"/>
          </w:tcPr>
          <w:p>
            <w:r>
              <w:t>Jul-26</w:t>
            </w:r>
          </w:p>
        </w:tc>
        <w:tc>
          <w:tcPr>
            <w:tcW w:type="dxa" w:w="5184"/>
          </w:tcPr>
          <w:p>
            <w:r>
              <w:t>13,767</w:t>
            </w:r>
          </w:p>
        </w:tc>
      </w:tr>
      <w:tr>
        <w:tc>
          <w:tcPr>
            <w:tcW w:type="dxa" w:w="5184"/>
          </w:tcPr>
          <w:p>
            <w:r>
              <w:t>Aug-26</w:t>
            </w:r>
          </w:p>
        </w:tc>
        <w:tc>
          <w:tcPr>
            <w:tcW w:type="dxa" w:w="5184"/>
          </w:tcPr>
          <w:p>
            <w:r>
              <w:t>12,871</w:t>
            </w:r>
          </w:p>
        </w:tc>
      </w:tr>
      <w:tr>
        <w:tc>
          <w:tcPr>
            <w:tcW w:type="dxa" w:w="5184"/>
          </w:tcPr>
          <w:p>
            <w:r>
              <w:t>Sep-26</w:t>
            </w:r>
          </w:p>
        </w:tc>
        <w:tc>
          <w:tcPr>
            <w:tcW w:type="dxa" w:w="5184"/>
          </w:tcPr>
          <w:p>
            <w:r>
              <w:t>122</w:t>
            </w:r>
          </w:p>
        </w:tc>
      </w:tr>
    </w:tbl>
    <w:p>
      <w:r>
        <w:t>Per-month result:</w:t>
      </w:r>
    </w:p>
    <w:p>
      <w:pPr>
        <w:pStyle w:val="ListBullet"/>
      </w:pPr>
      <w:r/>
      <w:r>
        <w:rPr>
          <w:b/>
        </w:rPr>
        <w:t>Jun-26:</w:t>
      </w:r>
      <w:r>
        <w:t xml:space="preserve"> frozen; subsequent source edits are not reflected automatically.</w:t>
      </w:r>
    </w:p>
    <w:p>
      <w:pPr>
        <w:pStyle w:val="ListBullet"/>
      </w:pPr>
      <w:r/>
      <w:r>
        <w:rPr>
          <w:b/>
        </w:rPr>
        <w:t>Jul-26:</w:t>
      </w:r>
      <w:r>
        <w:t xml:space="preserve"> frozen; subsequent source edits are not reflected automatically.</w:t>
      </w:r>
    </w:p>
    <w:p>
      <w:pPr>
        <w:pStyle w:val="ListBullet"/>
      </w:pPr>
      <w:r/>
      <w:r>
        <w:rPr>
          <w:b/>
        </w:rPr>
        <w:t>Aug-26:</w:t>
      </w:r>
      <w:r>
        <w:t xml:space="preserve"> last successfully replaced on 6 Sep 2026 at 09:33:08 UTC; the latest lower source was read but not adopted.</w:t>
      </w:r>
    </w:p>
    <w:p>
      <w:pPr>
        <w:pStyle w:val="ListBullet"/>
      </w:pPr>
      <w:r/>
      <w:r>
        <w:rPr>
          <w:b/>
        </w:rPr>
        <w:t>Sep-26:</w:t>
      </w:r>
      <w:r>
        <w:t xml:space="preserve"> replaced on 7 Sep 2026 at 09:32:52.482 UTC with 122 rows and ₹69,00,063.28.</w:t>
      </w:r>
    </w:p>
    <w:p>
      <w:r>
        <w:t>Any sheet edit after the 7 September 09:32:44 UTC read is not represented by that run. Even an edit observed during a later read is not necessarily written if the month is frozen or fails the strict freeze-transition guard.</w:t>
      </w:r>
    </w:p>
    <w:p>
      <w:pPr>
        <w:pStyle w:val="Title"/>
        <w:jc w:val="center"/>
      </w:pPr>
      <w:r>
        <w:t>F. Column Summed by the Chart</w:t>
      </w:r>
    </w:p>
    <w:p>
      <w:r>
        <w:t>The chart sums only sale_line.amount.</w:t>
      </w:r>
    </w:p>
    <w:p>
      <w:r>
        <w:t>For this register, amount comes from:</w:t>
      </w:r>
    </w:p>
    <w:p>
      <w:pPr>
        <w:pStyle w:val="ListBullet"/>
      </w:pPr>
      <w:r/>
      <w:r>
        <w:rPr>
          <w:b/>
        </w:rPr>
        <w:t>Google Sheet column:</w:t>
      </w:r>
      <w:r>
        <w:t xml:space="preserve"> M</w:t>
      </w:r>
    </w:p>
    <w:p>
      <w:pPr>
        <w:pStyle w:val="ListBullet"/>
      </w:pPr>
      <w:r/>
      <w:r>
        <w:rPr>
          <w:b/>
        </w:rPr>
        <w:t>Header:</w:t>
      </w:r>
      <w:r>
        <w:t xml:space="preserve"> Taxable Value</w:t>
      </w:r>
    </w:p>
    <w:p>
      <w:r>
        <w:t>Loading chain:</w:t>
      </w:r>
    </w:p>
    <w:p>
      <w:pPr>
        <w:pStyle w:val="ListNumber"/>
      </w:pPr>
      <w:r>
        <w:t>The column mapper recognizes TAXABLEVALUE as the amount column.</w:t>
      </w:r>
    </w:p>
    <w:p>
      <w:pPr>
        <w:pStyle w:val="ListNumber"/>
      </w:pPr>
      <w:r>
        <w:t>The parser converts the cell to a number.</w:t>
      </w:r>
    </w:p>
    <w:p>
      <w:pPr>
        <w:pStyle w:val="ListNumber"/>
      </w:pPr>
      <w:r>
        <w:t>The loader stores it as sale_line_all.amount.</w:t>
      </w:r>
    </w:p>
    <w:p>
      <w:pPr>
        <w:pStyle w:val="ListNumber"/>
      </w:pPr>
      <w:r>
        <w:t>The sale_line view exposes current-version rows.</w:t>
      </w:r>
    </w:p>
    <w:p>
      <w:pPr>
        <w:pStyle w:val="ListNumber"/>
      </w:pPr>
      <w:r>
        <w:t>The dashboard calculates SUM(amount) by month_label.</w:t>
      </w:r>
    </w:p>
    <w:p>
      <w:pPr>
        <w:pStyle w:val="ListNumber"/>
      </w:pPr>
      <w:r>
        <w:t>The monthly result is saved in the dashboard snapshot and rendered by the area chart.</w:t>
      </w:r>
    </w:p>
    <w:p>
      <w:r>
        <w:t>No other field contributes to the chart:</w:t>
      </w:r>
    </w:p>
    <w:p>
      <w:pPr>
        <w:pStyle w:val="ListBullet"/>
      </w:pPr>
      <w:r>
        <w:t>not Sale Rate;</w:t>
      </w:r>
    </w:p>
    <w:p>
      <w:pPr>
        <w:pStyle w:val="ListBullet"/>
      </w:pPr>
      <w:r>
        <w:t>not MRP;</w:t>
      </w:r>
    </w:p>
    <w:p>
      <w:pPr>
        <w:pStyle w:val="ListBullet"/>
      </w:pPr>
      <w:r>
        <w:t>not quantity;</w:t>
      </w:r>
    </w:p>
    <w:p>
      <w:pPr>
        <w:pStyle w:val="ListBullet"/>
      </w:pPr>
      <w:r>
        <w:t>not gross value;</w:t>
      </w:r>
    </w:p>
    <w:p>
      <w:pPr>
        <w:pStyle w:val="ListBullet"/>
      </w:pPr>
      <w:r>
        <w:t>not Secondary Order Booking;</w:t>
      </w:r>
    </w:p>
    <w:p>
      <w:pPr>
        <w:pStyle w:val="ListBullet"/>
      </w:pPr>
      <w:r>
        <w:t>not a Google Sheet chart total.</w:t>
      </w:r>
    </w:p>
    <w:p>
      <w:r>
        <w:t>The chart is exclusively the sum of persisted Taxable Value amounts from current sale_line rows.</w:t>
      </w:r>
    </w:p>
    <w:p>
      <w:pPr>
        <w:pStyle w:val="Title"/>
        <w:jc w:val="center"/>
      </w:pPr>
      <w:r>
        <w:t>Final Status</w:t>
      </w:r>
    </w:p>
    <w:p>
      <w:r>
        <w:t>This investigation was read-only. No source data, production data, files, builds, workflows, detector state, sync state, or deployment state was modified.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FY2026–27 Sales (Dispatch) — Database vs Live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