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Anant Singh - member file IDs, revised</w:t>
      </w:r>
    </w:p>
    <w:p>
      <w:pPr>
        <w:spacing w:after="150"/>
      </w:pPr>
      <w:r>
        <w:rPr>
          <w:i/>
          <w:iCs/>
          <w:color w:val="555555"/>
        </w:rPr>
        <w:t xml:space="preserve">Supersedes the earlier six-member mapping. Eleven of thirteen members are now resolved.</w:t>
      </w:r>
    </w:p>
    <w:p>
      <w:pPr>
        <w:pStyle w:val="Heading1"/>
        <w:spacing w:after="100" w:before="240"/>
      </w:pPr>
      <w:r>
        <w:rPr>
          <w:b/>
          <w:bCs/>
        </w:rPr>
        <w:t xml:space="preserve">Why this supersedes the earlier prompt</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FOUR SHEETS THAT DRIVE SEARCHES RETURNED NOTHING DO IN FACT EXIST. Tarun Giri, Ankit Kumar, Rahul Singh and Ravi (Faridabad) were reported as having no working sheet, because 'title contains', 'fullText contains' and a first-name-only search all returned empty for them. They were supplied afterwards as direct links and opened without difficulty.</w:t>
      </w:r>
    </w:p>
    <w:p>
      <w:pPr>
        <w:spacing w:after="100"/>
      </w:pPr>
      <w:r>
        <w:t xml:space="preserve">The cause is sharing, not existence. A sheet that lives in another account and has never been shared with the reporting account is invisible to every Drive query, while being in daily use by the person who owns it. The first-name search proves the mechanism: searching 'Tarun' returned four other people named Tarun and not this one.</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THE RULE THAT CHANGES: a search returning nothing means NOT SHARED, not NOT PRESENT. Never conclude a member has no working sheet from search results alone. Search first, then ask the business for links to whatever is unresolved.</w:t>
      </w:r>
    </w:p>
    <w:p>
      <w:pPr>
        <w:spacing w:after="100"/>
      </w:pPr>
      <w:r>
        <w:t xml:space="preserve">Two members remain unresolved: Shiv Kumar and Ravi Upadhyay. Both appear on the State Head Dashboard but not on the salesperson roster, so it is worth confirming they are current members before chasing their sheets.</w:t>
      </w:r>
    </w:p>
    <w:p>
      <w:pPr>
        <w:pStyle w:val="Heading1"/>
        <w:spacing w:after="100" w:before="240"/>
      </w:pPr>
      <w:r>
        <w:rPr>
          <w:b/>
          <w:bCs/>
        </w:rPr>
        <w:t xml:space="preserve">The prompt</w:t>
      </w:r>
    </w:p>
    <w:p>
      <w:pPr>
        <w:spacing w:after="20" w:before="100"/>
      </w:pPr>
      <w:r>
        <w:rPr>
          <w:b/>
          <w:bCs/>
          <w:i/>
          <w:iCs/>
          <w:color w:val="444444"/>
        </w:rPr>
        <w:t xml:space="preserve">PROMPT - member file IDs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6"/>
          <w:szCs w:val="16"/>
        </w:rPr>
        <w:t xml:space="preserve">Prayag app - Sales Deep Dive. Update the member-to-fileId map for State Head 'Anant</w:t>
      </w:r>
      <w:r>
        <w:rPr>
          <w:rFonts w:ascii="Courier New" w:cs="Courier New" w:eastAsia="Courier New" w:hAnsi="Courier New"/>
          <w:sz w:val="16"/>
          <w:szCs w:val="16"/>
        </w:rPr>
        <w:br/>
        <w:t xml:space="preserve">Singh'. Same global rules as every earlier phase. Supersedes the earlier mapping of</w:t>
      </w:r>
      <w:r>
        <w:rPr>
          <w:rFonts w:ascii="Courier New" w:cs="Courier New" w:eastAsia="Courier New" w:hAnsi="Courier New"/>
          <w:sz w:val="16"/>
          <w:szCs w:val="16"/>
        </w:rPr>
        <w:br/>
        <w:t xml:space="preserve">six members.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1. SET THE MAP to these eleven entries. All are Google Sheets owned by or shared with</w:t>
      </w:r>
      <w:r>
        <w:rPr>
          <w:rFonts w:ascii="Courier New" w:cs="Courier New" w:eastAsia="Courier New" w:hAnsi="Courier New"/>
          <w:sz w:val="16"/>
          <w:szCs w:val="16"/>
        </w:rPr>
        <w:br/>
        <w:t xml:space="preserve">   DEEPAKJ@prayagindia.com, and all have been opened and verified:</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Ravinder Puri              1WowgCGTCOMmqanUXVQIbYWHbXi0cuGFxvrPe3CdSDpA</w:t>
      </w:r>
      <w:r>
        <w:rPr>
          <w:rFonts w:ascii="Courier New" w:cs="Courier New" w:eastAsia="Courier New" w:hAnsi="Courier New"/>
          <w:sz w:val="16"/>
          <w:szCs w:val="16"/>
        </w:rPr>
        <w:br/>
        <w:t xml:space="preserve">     Prasun Chatterjee          1UEZK2L9OACV3t606hu8vkTn-5ekPDyqCYSBS2X6A5Jc</w:t>
      </w:r>
      <w:r>
        <w:rPr>
          <w:rFonts w:ascii="Courier New" w:cs="Courier New" w:eastAsia="Courier New" w:hAnsi="Courier New"/>
          <w:sz w:val="16"/>
          <w:szCs w:val="16"/>
        </w:rPr>
        <w:br/>
        <w:t xml:space="preserve">     Jagdev                     1FQCfm55A8B3_aOo8e1xPQEUbQHYH85diG24OUoTRqnY</w:t>
      </w:r>
      <w:r>
        <w:rPr>
          <w:rFonts w:ascii="Courier New" w:cs="Courier New" w:eastAsia="Courier New" w:hAnsi="Courier New"/>
          <w:sz w:val="16"/>
          <w:szCs w:val="16"/>
        </w:rPr>
        <w:br/>
        <w:t xml:space="preserve">     Manish Gupta               1Oujo8vUnwFLr-WkmYYfJwaGjmRsDy-q2Aq0vU4BlykA</w:t>
      </w:r>
      <w:r>
        <w:rPr>
          <w:rFonts w:ascii="Courier New" w:cs="Courier New" w:eastAsia="Courier New" w:hAnsi="Courier New"/>
          <w:sz w:val="16"/>
          <w:szCs w:val="16"/>
        </w:rPr>
        <w:br/>
        <w:t xml:space="preserve">     Rinku                      1LJGS53NCp-odxIXkmSORKxH8_UeQo5bY4expBVdkFdk</w:t>
      </w:r>
      <w:r>
        <w:rPr>
          <w:rFonts w:ascii="Courier New" w:cs="Courier New" w:eastAsia="Courier New" w:hAnsi="Courier New"/>
          <w:sz w:val="16"/>
          <w:szCs w:val="16"/>
        </w:rPr>
        <w:br/>
        <w:t xml:space="preserve">     Ashutosh Kumar (Rudrapur)  13EYfcAewqPPQ83PA3ta2L46h2GIwi9k-mw8zx8HuEws</w:t>
      </w:r>
      <w:r>
        <w:rPr>
          <w:rFonts w:ascii="Courier New" w:cs="Courier New" w:eastAsia="Courier New" w:hAnsi="Courier New"/>
          <w:sz w:val="16"/>
          <w:szCs w:val="16"/>
        </w:rPr>
        <w:br/>
        <w:t xml:space="preserve">     Shivam Chauhan             132I0fvbfTDk_3h-QeYGrQ-F6z0A921MXbdqyLFsyN5Y</w:t>
      </w:r>
      <w:r>
        <w:rPr>
          <w:rFonts w:ascii="Courier New" w:cs="Courier New" w:eastAsia="Courier New" w:hAnsi="Courier New"/>
          <w:sz w:val="16"/>
          <w:szCs w:val="16"/>
        </w:rPr>
        <w:br/>
        <w:t xml:space="preserve">     Tarun Giri                 1K_te1jkI-iFfbgNObYuqxjJkg-GYMv3I58ZA0lOYHRg</w:t>
      </w:r>
      <w:r>
        <w:rPr>
          <w:rFonts w:ascii="Courier New" w:cs="Courier New" w:eastAsia="Courier New" w:hAnsi="Courier New"/>
          <w:sz w:val="16"/>
          <w:szCs w:val="16"/>
        </w:rPr>
        <w:br/>
        <w:t xml:space="preserve">     Ankit Kumar                1rYn_Flgp7jo7mcfA8eUDen14LV_dF62DRjmNbnJEK7k</w:t>
      </w:r>
      <w:r>
        <w:rPr>
          <w:rFonts w:ascii="Courier New" w:cs="Courier New" w:eastAsia="Courier New" w:hAnsi="Courier New"/>
          <w:sz w:val="16"/>
          <w:szCs w:val="16"/>
        </w:rPr>
        <w:br/>
        <w:t xml:space="preserve">     Rahul Singh                1oZiOB-uOkOH274-vJVj-7KfU6a1wi4EPcAR85Vyas10</w:t>
      </w:r>
      <w:r>
        <w:rPr>
          <w:rFonts w:ascii="Courier New" w:cs="Courier New" w:eastAsia="Courier New" w:hAnsi="Courier New"/>
          <w:sz w:val="16"/>
          <w:szCs w:val="16"/>
        </w:rPr>
        <w:br/>
        <w:t xml:space="preserve">     Ravi (Faridabad)           1jFDZ-XQ8Fuzz37_6c1Wi087O7eNCDVE8KbcMW9lSUac</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Shiv Kumar and Ravi Upadhyay remain unmapped and must continue to degrade</w:t>
      </w:r>
      <w:r>
        <w:rPr>
          <w:rFonts w:ascii="Courier New" w:cs="Courier New" w:eastAsia="Courier New" w:hAnsi="Courier New"/>
          <w:sz w:val="16"/>
          <w:szCs w:val="16"/>
        </w:rPr>
        <w:br/>
        <w:t xml:space="preserve">   gracefully - dashboard KPIs shown, retailer detail marked 'not yet mapped', never</w:t>
      </w:r>
      <w:r>
        <w:rPr>
          <w:rFonts w:ascii="Courier New" w:cs="Courier New" w:eastAsia="Courier New" w:hAnsi="Courier New"/>
          <w:sz w:val="16"/>
          <w:szCs w:val="16"/>
        </w:rPr>
        <w:br/>
        <w:t xml:space="preserve">   an error and never zeros.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2. NEVER READ A FILE WHOSE TITLE BEGINS 'Copy'. Those are transitory working sheets</w:t>
      </w:r>
      <w:r>
        <w:rPr>
          <w:rFonts w:ascii="Courier New" w:cs="Courier New" w:eastAsia="Courier New" w:hAnsi="Courier New"/>
          <w:sz w:val="16"/>
          <w:szCs w:val="16"/>
        </w:rPr>
        <w:br/>
        <w:t xml:space="preserve">   that salespeople fill in, kept separate so the main sheet is not corrupted. Stale</w:t>
      </w:r>
      <w:r>
        <w:rPr>
          <w:rFonts w:ascii="Courier New" w:cs="Courier New" w:eastAsia="Courier New" w:hAnsi="Courier New"/>
          <w:sz w:val="16"/>
          <w:szCs w:val="16"/>
        </w:rPr>
        <w:br/>
        <w:t xml:space="preserve">   copies of several of these sit in the same folder. Log the resolved file id used</w:t>
      </w:r>
      <w:r>
        <w:rPr>
          <w:rFonts w:ascii="Courier New" w:cs="Courier New" w:eastAsia="Courier New" w:hAnsi="Courier New"/>
          <w:sz w:val="16"/>
          <w:szCs w:val="16"/>
        </w:rPr>
        <w:br/>
        <w:t xml:space="preserve">   for each member so this can be checked.</w:t>
      </w:r>
      <w:r>
        <w:rPr>
          <w:rFonts w:ascii="Courier New" w:cs="Courier New" w:eastAsia="Courier New" w:hAnsi="Courier New"/>
          <w:sz w:val="16"/>
          <w:szCs w:val="16"/>
        </w:rPr>
        <w:br/>
        <w:t xml:space="preserve">   Ashutosh Kumar (Rudrapur) and Ashutosh Kumar (Dehradun) are DIFFERENT people.</w:t>
      </w:r>
      <w:r>
        <w:rPr>
          <w:rFonts w:ascii="Courier New" w:cs="Courier New" w:eastAsia="Courier New" w:hAnsi="Courier New"/>
          <w:sz w:val="16"/>
          <w:szCs w:val="16"/>
        </w:rPr>
        <w:br/>
        <w:t xml:space="preserve">   Never strip a parenthetical from a member name.</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3. FIX THE COLUMN MATCHING. Header text uses the FULL year format. Matching on the</w:t>
      </w:r>
      <w:r>
        <w:rPr>
          <w:rFonts w:ascii="Courier New" w:cs="Courier New" w:eastAsia="Courier New" w:hAnsi="Courier New"/>
          <w:sz w:val="16"/>
          <w:szCs w:val="16"/>
        </w:rPr>
        <w:br/>
        <w:t xml:space="preserve">   short form silently returns zeros - it did, on the first attempt, for every member:</w:t>
      </w:r>
      <w:r>
        <w:rPr>
          <w:rFonts w:ascii="Courier New" w:cs="Courier New" w:eastAsia="Courier New" w:hAnsi="Courier New"/>
          <w:sz w:val="16"/>
          <w:szCs w:val="16"/>
        </w:rPr>
        <w:br/>
        <w:t xml:space="preserve">     correct   'Order Booking 2026-27'   'Sale 2026-27'   'Business Plan 2026-27'</w:t>
      </w:r>
      <w:r>
        <w:rPr>
          <w:rFonts w:ascii="Courier New" w:cs="Courier New" w:eastAsia="Courier New" w:hAnsi="Courier New"/>
          <w:sz w:val="16"/>
          <w:szCs w:val="16"/>
        </w:rPr>
        <w:br/>
        <w:t xml:space="preserve">     WRONG     'Order Booking 26-27'     'Sale 26-27'</w:t>
      </w:r>
      <w:r>
        <w:rPr>
          <w:rFonts w:ascii="Courier New" w:cs="Courier New" w:eastAsia="Courier New" w:hAnsi="Courier New"/>
          <w:sz w:val="16"/>
          <w:szCs w:val="16"/>
        </w:rPr>
        <w:br/>
        <w:t xml:space="preserve">   Note also that 'Order Booking 19-20' appears TWICE in the header row (columns H and</w:t>
      </w:r>
      <w:r>
        <w:rPr>
          <w:rFonts w:ascii="Courier New" w:cs="Courier New" w:eastAsia="Courier New" w:hAnsi="Courier New"/>
          <w:sz w:val="16"/>
          <w:szCs w:val="16"/>
        </w:rPr>
        <w:br/>
        <w:t xml:space="preserve">   AG). Take the FIRST match. Locate every column by header text on row 5, never by a</w:t>
      </w:r>
      <w:r>
        <w:rPr>
          <w:rFonts w:ascii="Courier New" w:cs="Courier New" w:eastAsia="Courier New" w:hAnsi="Courier New"/>
          <w:sz w:val="16"/>
          <w:szCs w:val="16"/>
        </w:rPr>
        <w:br/>
        <w:t xml:space="preserve">   hardcoded letter.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4. GUARD DIVISIONS. Ravi (Faridabad) and Rahul Singh have NO annual visit requirement</w:t>
      </w:r>
      <w:r>
        <w:rPr>
          <w:rFonts w:ascii="Courier New" w:cs="Courier New" w:eastAsia="Courier New" w:hAnsi="Courier New"/>
          <w:sz w:val="16"/>
          <w:szCs w:val="16"/>
        </w:rPr>
        <w:br/>
        <w:t xml:space="preserve">   recorded - the column is zero. Any visit-coverage calculation must handle that</w:t>
      </w:r>
      <w:r>
        <w:rPr>
          <w:rFonts w:ascii="Courier New" w:cs="Courier New" w:eastAsia="Courier New" w:hAnsi="Courier New"/>
          <w:sz w:val="16"/>
          <w:szCs w:val="16"/>
        </w:rPr>
        <w:br/>
        <w:t xml:space="preserve">   without failing, and should report 'no requirement recorded' rather than 0 per cent.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5. RECONCILE EVERY MAPPED MEMBER before accepting the load. For each, own-sheet order</w:t>
      </w:r>
      <w:r>
        <w:rPr>
          <w:rFonts w:ascii="Courier New" w:cs="Courier New" w:eastAsia="Courier New" w:hAnsi="Courier New"/>
          <w:sz w:val="16"/>
          <w:szCs w:val="16"/>
        </w:rPr>
        <w:br/>
        <w:t xml:space="preserve">   booking must equal the dashboard's secondary order booking plus direct-dealer order,</w:t>
      </w:r>
      <w:r>
        <w:rPr>
          <w:rFonts w:ascii="Courier New" w:cs="Courier New" w:eastAsia="Courier New" w:hAnsi="Courier New"/>
          <w:sz w:val="16"/>
          <w:szCs w:val="16"/>
        </w:rPr>
        <w:br/>
        <w:t xml:space="preserve">   exactly. This currently holds for all eleven. Report the comparison per member.</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Acceptance - prove each with the computed value, never an assertion of success:</w:t>
      </w:r>
      <w:r>
        <w:rPr>
          <w:rFonts w:ascii="Courier New" w:cs="Courier New" w:eastAsia="Courier New" w:hAnsi="Courier New"/>
          <w:sz w:val="16"/>
          <w:szCs w:val="16"/>
        </w:rPr>
        <w:br/>
        <w:t xml:space="preserve">  11 of 13 members show retailer detail; Shiv Kumar and Ravi Upadhyay show</w:t>
      </w:r>
      <w:r>
        <w:rPr>
          <w:rFonts w:ascii="Courier New" w:cs="Courier New" w:eastAsia="Courier New" w:hAnsi="Courier New"/>
          <w:sz w:val="16"/>
          <w:szCs w:val="16"/>
        </w:rPr>
        <w:br/>
        <w:t xml:space="preserve">    'not yet mapped'</w:t>
      </w:r>
      <w:r>
        <w:rPr>
          <w:rFonts w:ascii="Courier New" w:cs="Courier New" w:eastAsia="Courier New" w:hAnsi="Courier New"/>
          <w:sz w:val="16"/>
          <w:szCs w:val="16"/>
        </w:rPr>
        <w:br/>
        <w:t xml:space="preserve">  the A/B reconciliation passes for all 11 - report booking from both sides per member</w:t>
      </w:r>
      <w:r>
        <w:rPr>
          <w:rFonts w:ascii="Courier New" w:cs="Courier New" w:eastAsia="Courier New" w:hAnsi="Courier New"/>
          <w:sz w:val="16"/>
          <w:szCs w:val="16"/>
        </w:rPr>
        <w:br/>
        <w:t xml:space="preserve">  control values reproduce exactly: Prasun Chatterjee 73 retailers, 34 active,</w:t>
      </w:r>
      <w:r>
        <w:rPr>
          <w:rFonts w:ascii="Courier New" w:cs="Courier New" w:eastAsia="Courier New" w:hAnsi="Courier New"/>
          <w:sz w:val="16"/>
          <w:szCs w:val="16"/>
        </w:rPr>
        <w:br/>
        <w:t xml:space="preserve">    Rs 26,21,109 booking, Rs 26,13,934 sale, 395 visits, 1,704 required</w:t>
      </w:r>
      <w:r>
        <w:rPr>
          <w:rFonts w:ascii="Courier New" w:cs="Courier New" w:eastAsia="Courier New" w:hAnsi="Courier New"/>
          <w:sz w:val="16"/>
          <w:szCs w:val="16"/>
        </w:rPr>
        <w:br/>
        <w:t xml:space="preserve">  new members reconcile: Tarun Giri Rs 27,80,778 / 54 retailers / 43 active;</w:t>
      </w:r>
      <w:r>
        <w:rPr>
          <w:rFonts w:ascii="Courier New" w:cs="Courier New" w:eastAsia="Courier New" w:hAnsi="Courier New"/>
          <w:sz w:val="16"/>
          <w:szCs w:val="16"/>
        </w:rPr>
        <w:br/>
        <w:t xml:space="preserve">    Ankit Kumar Rs 24,30,542 / 78 / 48; Rahul Singh Rs 3,21,482 / 64 / 5;</w:t>
      </w:r>
      <w:r>
        <w:rPr>
          <w:rFonts w:ascii="Courier New" w:cs="Courier New" w:eastAsia="Courier New" w:hAnsi="Courier New"/>
          <w:sz w:val="16"/>
          <w:szCs w:val="16"/>
        </w:rPr>
        <w:br/>
        <w:t xml:space="preserve">    Ravi (Faridabad) Rs 2,28,008 / 38 / 5</w:t>
      </w:r>
      <w:r>
        <w:rPr>
          <w:rFonts w:ascii="Courier New" w:cs="Courier New" w:eastAsia="Courier New" w:hAnsi="Courier New"/>
          <w:sz w:val="16"/>
          <w:szCs w:val="16"/>
        </w:rPr>
        <w:br/>
        <w:t xml:space="preserve">  team totals across the 11 mapped: 854 retailers, 473 active, 381 with no assigned</w:t>
      </w:r>
      <w:r>
        <w:rPr>
          <w:rFonts w:ascii="Courier New" w:cs="Courier New" w:eastAsia="Courier New" w:hAnsi="Courier New"/>
          <w:sz w:val="16"/>
          <w:szCs w:val="16"/>
        </w:rPr>
        <w:br/>
        <w:t xml:space="preserve">    distributor, 3,120 visits</w:t>
      </w:r>
      <w:r>
        <w:rPr>
          <w:rFonts w:ascii="Courier New" w:cs="Courier New" w:eastAsia="Courier New" w:hAnsi="Courier New"/>
          <w:sz w:val="16"/>
          <w:szCs w:val="16"/>
        </w:rPr>
        <w:br/>
        <w:t xml:space="preserve">  no file whose title begins 'Copy' is read anywhere</w:t>
      </w:r>
    </w:p>
    <w:p>
      <w:pPr>
        <w:pStyle w:val="Heading1"/>
        <w:spacing w:after="100" w:before="240"/>
      </w:pPr>
      <w:r>
        <w:rPr>
          <w:b/>
          <w:bCs/>
        </w:rPr>
        <w:t xml:space="preserve">What the four new sheets revealed</w:t>
      </w:r>
    </w:p>
    <w:p>
      <w:pPr>
        <w:spacing w:after="100"/>
      </w:pPr>
      <w:r>
        <w:t xml:space="preserve">They did not merely fill gaps. They turned a single-member observation into a team-wide pattern, because the two extremes of the unassigned distribution were both among the previously missing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Mar>
              <w:top w:type="dxa" w:w="50"/>
              <w:left w:type="dxa" w:w="80"/>
              <w:bottom w:type="dxa" w:w="50"/>
              <w:right w:type="dxa" w:w="80"/>
            </w:tcMar>
          </w:tcPr>
          <w:p>
            <w:r>
              <w:rPr>
                <w:b/>
                <w:bCs/>
                <w:sz w:val="16"/>
                <w:szCs w:val="16"/>
              </w:rPr>
              <w:t xml:space="preserve">Member</w:t>
            </w:r>
          </w:p>
        </w:tc>
        <w:tc>
          <w:tcPr>
            <w:tcW w:type="pct" w:w="28%"/>
            <w:tcMar>
              <w:top w:type="dxa" w:w="50"/>
              <w:left w:type="dxa" w:w="80"/>
              <w:bottom w:type="dxa" w:w="50"/>
              <w:right w:type="dxa" w:w="80"/>
            </w:tcMar>
          </w:tcPr>
          <w:p>
            <w:r>
              <w:rPr>
                <w:b/>
                <w:bCs/>
                <w:sz w:val="16"/>
                <w:szCs w:val="16"/>
              </w:rPr>
              <w:t xml:space="preserve">Retailers with no distributor</w:t>
            </w:r>
          </w:p>
        </w:tc>
        <w:tc>
          <w:tcPr>
            <w:tcW w:type="pct" w:w="16%"/>
            <w:tcMar>
              <w:top w:type="dxa" w:w="50"/>
              <w:left w:type="dxa" w:w="80"/>
              <w:bottom w:type="dxa" w:w="50"/>
              <w:right w:type="dxa" w:w="80"/>
            </w:tcMar>
          </w:tcPr>
          <w:p>
            <w:r>
              <w:rPr>
                <w:b/>
                <w:bCs/>
                <w:sz w:val="16"/>
                <w:szCs w:val="16"/>
              </w:rPr>
              <w:t xml:space="preserve">Share</w:t>
            </w:r>
          </w:p>
        </w:tc>
        <w:tc>
          <w:tcPr>
            <w:tcW w:type="pct" w:w="26%"/>
            <w:tcMar>
              <w:top w:type="dxa" w:w="50"/>
              <w:left w:type="dxa" w:w="80"/>
              <w:bottom w:type="dxa" w:w="50"/>
              <w:right w:type="dxa" w:w="80"/>
            </w:tcMar>
          </w:tcPr>
          <w:p>
            <w:r>
              <w:rPr>
                <w:b/>
                <w:bCs/>
                <w:sz w:val="16"/>
                <w:szCs w:val="16"/>
              </w:rPr>
              <w:t xml:space="preserve">Achievement</w:t>
            </w:r>
          </w:p>
        </w:tc>
      </w:tr>
      <w:tr>
        <w:trPr>
          <w:tblHeader w:val="false"/>
        </w:trPr>
        <w:tc>
          <w:tcPr>
            <w:tcW w:type="pct" w:w="30%"/>
            <w:tcMar>
              <w:top w:type="dxa" w:w="50"/>
              <w:left w:type="dxa" w:w="80"/>
              <w:bottom w:type="dxa" w:w="50"/>
              <w:right w:type="dxa" w:w="80"/>
            </w:tcMar>
          </w:tcPr>
          <w:p>
            <w:r>
              <w:rPr>
                <w:b w:val="false"/>
                <w:bCs w:val="false"/>
                <w:sz w:val="16"/>
                <w:szCs w:val="16"/>
              </w:rPr>
              <w:t xml:space="preserve">Rahul Singh (new)</w:t>
            </w:r>
          </w:p>
        </w:tc>
        <w:tc>
          <w:tcPr>
            <w:tcW w:type="pct" w:w="28%"/>
            <w:tcMar>
              <w:top w:type="dxa" w:w="50"/>
              <w:left w:type="dxa" w:w="80"/>
              <w:bottom w:type="dxa" w:w="50"/>
              <w:right w:type="dxa" w:w="80"/>
            </w:tcMar>
          </w:tcPr>
          <w:p>
            <w:r>
              <w:rPr>
                <w:b w:val="false"/>
                <w:bCs w:val="false"/>
                <w:sz w:val="16"/>
                <w:szCs w:val="16"/>
              </w:rPr>
              <w:t xml:space="preserve">59 of 64</w:t>
            </w:r>
          </w:p>
        </w:tc>
        <w:tc>
          <w:tcPr>
            <w:tcW w:type="pct" w:w="16%"/>
            <w:tcMar>
              <w:top w:type="dxa" w:w="50"/>
              <w:left w:type="dxa" w:w="80"/>
              <w:bottom w:type="dxa" w:w="50"/>
              <w:right w:type="dxa" w:w="80"/>
            </w:tcMar>
          </w:tcPr>
          <w:p>
            <w:r>
              <w:rPr>
                <w:b w:val="false"/>
                <w:bCs w:val="false"/>
                <w:sz w:val="16"/>
                <w:szCs w:val="16"/>
              </w:rPr>
              <w:t xml:space="preserve">92%</w:t>
            </w:r>
          </w:p>
        </w:tc>
        <w:tc>
          <w:tcPr>
            <w:tcW w:type="pct" w:w="26%"/>
            <w:tcMar>
              <w:top w:type="dxa" w:w="50"/>
              <w:left w:type="dxa" w:w="80"/>
              <w:bottom w:type="dxa" w:w="50"/>
              <w:right w:type="dxa" w:w="80"/>
            </w:tcMar>
          </w:tcPr>
          <w:p>
            <w:r>
              <w:rPr>
                <w:b w:val="false"/>
                <w:bCs w:val="false"/>
                <w:sz w:val="16"/>
                <w:szCs w:val="16"/>
              </w:rPr>
              <w:t xml:space="preserve">53.0%</w:t>
            </w:r>
          </w:p>
        </w:tc>
      </w:tr>
      <w:tr>
        <w:trPr>
          <w:tblHeader w:val="false"/>
        </w:trPr>
        <w:tc>
          <w:tcPr>
            <w:tcW w:type="pct" w:w="30%"/>
            <w:tcMar>
              <w:top w:type="dxa" w:w="50"/>
              <w:left w:type="dxa" w:w="80"/>
              <w:bottom w:type="dxa" w:w="50"/>
              <w:right w:type="dxa" w:w="80"/>
            </w:tcMar>
          </w:tcPr>
          <w:p>
            <w:r>
              <w:rPr>
                <w:b w:val="false"/>
                <w:bCs w:val="false"/>
                <w:sz w:val="16"/>
                <w:szCs w:val="16"/>
              </w:rPr>
              <w:t xml:space="preserve">Ravi (Faridabad) (new)</w:t>
            </w:r>
          </w:p>
        </w:tc>
        <w:tc>
          <w:tcPr>
            <w:tcW w:type="pct" w:w="28%"/>
            <w:tcMar>
              <w:top w:type="dxa" w:w="50"/>
              <w:left w:type="dxa" w:w="80"/>
              <w:bottom w:type="dxa" w:w="50"/>
              <w:right w:type="dxa" w:w="80"/>
            </w:tcMar>
          </w:tcPr>
          <w:p>
            <w:r>
              <w:rPr>
                <w:b w:val="false"/>
                <w:bCs w:val="false"/>
                <w:sz w:val="16"/>
                <w:szCs w:val="16"/>
              </w:rPr>
              <w:t xml:space="preserve">30 of 38</w:t>
            </w:r>
          </w:p>
        </w:tc>
        <w:tc>
          <w:tcPr>
            <w:tcW w:type="pct" w:w="16%"/>
            <w:tcMar>
              <w:top w:type="dxa" w:w="50"/>
              <w:left w:type="dxa" w:w="80"/>
              <w:bottom w:type="dxa" w:w="50"/>
              <w:right w:type="dxa" w:w="80"/>
            </w:tcMar>
          </w:tcPr>
          <w:p>
            <w:r>
              <w:rPr>
                <w:b w:val="false"/>
                <w:bCs w:val="false"/>
                <w:sz w:val="16"/>
                <w:szCs w:val="16"/>
              </w:rPr>
              <w:t xml:space="preserve">79%</w:t>
            </w:r>
          </w:p>
        </w:tc>
        <w:tc>
          <w:tcPr>
            <w:tcW w:type="pct" w:w="26%"/>
            <w:tcMar>
              <w:top w:type="dxa" w:w="50"/>
              <w:left w:type="dxa" w:w="80"/>
              <w:bottom w:type="dxa" w:w="50"/>
              <w:right w:type="dxa" w:w="80"/>
            </w:tcMar>
          </w:tcPr>
          <w:p>
            <w:r>
              <w:rPr>
                <w:b w:val="false"/>
                <w:bCs w:val="false"/>
                <w:sz w:val="16"/>
                <w:szCs w:val="16"/>
              </w:rPr>
              <w:t xml:space="preserve">5.6%</w:t>
            </w:r>
          </w:p>
        </w:tc>
      </w:tr>
      <w:tr>
        <w:trPr>
          <w:tblHeader w:val="false"/>
        </w:trPr>
        <w:tc>
          <w:tcPr>
            <w:tcW w:type="pct" w:w="30%"/>
            <w:tcMar>
              <w:top w:type="dxa" w:w="50"/>
              <w:left w:type="dxa" w:w="80"/>
              <w:bottom w:type="dxa" w:w="50"/>
              <w:right w:type="dxa" w:w="80"/>
            </w:tcMar>
          </w:tcPr>
          <w:p>
            <w:r>
              <w:rPr>
                <w:b w:val="false"/>
                <w:bCs w:val="false"/>
                <w:sz w:val="16"/>
                <w:szCs w:val="16"/>
              </w:rPr>
              <w:t xml:space="preserve">Ravinder Puri</w:t>
            </w:r>
          </w:p>
        </w:tc>
        <w:tc>
          <w:tcPr>
            <w:tcW w:type="pct" w:w="28%"/>
            <w:tcMar>
              <w:top w:type="dxa" w:w="50"/>
              <w:left w:type="dxa" w:w="80"/>
              <w:bottom w:type="dxa" w:w="50"/>
              <w:right w:type="dxa" w:w="80"/>
            </w:tcMar>
          </w:tcPr>
          <w:p>
            <w:r>
              <w:rPr>
                <w:b w:val="false"/>
                <w:bCs w:val="false"/>
                <w:sz w:val="16"/>
                <w:szCs w:val="16"/>
              </w:rPr>
              <w:t xml:space="preserve">26 of 96</w:t>
            </w:r>
          </w:p>
        </w:tc>
        <w:tc>
          <w:tcPr>
            <w:tcW w:type="pct" w:w="16%"/>
            <w:tcMar>
              <w:top w:type="dxa" w:w="50"/>
              <w:left w:type="dxa" w:w="80"/>
              <w:bottom w:type="dxa" w:w="50"/>
              <w:right w:type="dxa" w:w="80"/>
            </w:tcMar>
          </w:tcPr>
          <w:p>
            <w:r>
              <w:rPr>
                <w:b w:val="false"/>
                <w:bCs w:val="false"/>
                <w:sz w:val="16"/>
                <w:szCs w:val="16"/>
              </w:rPr>
              <w:t xml:space="preserve">27%</w:t>
            </w:r>
          </w:p>
        </w:tc>
        <w:tc>
          <w:tcPr>
            <w:tcW w:type="pct" w:w="26%"/>
            <w:tcMar>
              <w:top w:type="dxa" w:w="50"/>
              <w:left w:type="dxa" w:w="80"/>
              <w:bottom w:type="dxa" w:w="50"/>
              <w:right w:type="dxa" w:w="80"/>
            </w:tcMar>
          </w:tcPr>
          <w:p>
            <w:r>
              <w:rPr>
                <w:b w:val="false"/>
                <w:bCs w:val="false"/>
                <w:sz w:val="16"/>
                <w:szCs w:val="16"/>
              </w:rPr>
              <w:t xml:space="preserve">88.0%</w:t>
            </w:r>
          </w:p>
        </w:tc>
      </w:tr>
      <w:tr>
        <w:trPr>
          <w:tblHeader w:val="false"/>
        </w:trPr>
        <w:tc>
          <w:tcPr>
            <w:tcW w:type="pct" w:w="30%"/>
            <w:tcMar>
              <w:top w:type="dxa" w:w="50"/>
              <w:left w:type="dxa" w:w="80"/>
              <w:bottom w:type="dxa" w:w="50"/>
              <w:right w:type="dxa" w:w="80"/>
            </w:tcMar>
          </w:tcPr>
          <w:p>
            <w:r>
              <w:rPr>
                <w:b w:val="false"/>
                <w:bCs w:val="false"/>
                <w:sz w:val="16"/>
                <w:szCs w:val="16"/>
              </w:rPr>
              <w:t xml:space="preserve">Tarun Giri (new)</w:t>
            </w:r>
          </w:p>
        </w:tc>
        <w:tc>
          <w:tcPr>
            <w:tcW w:type="pct" w:w="28%"/>
            <w:tcMar>
              <w:top w:type="dxa" w:w="50"/>
              <w:left w:type="dxa" w:w="80"/>
              <w:bottom w:type="dxa" w:w="50"/>
              <w:right w:type="dxa" w:w="80"/>
            </w:tcMar>
          </w:tcPr>
          <w:p>
            <w:r>
              <w:rPr>
                <w:b w:val="false"/>
                <w:bCs w:val="false"/>
                <w:sz w:val="16"/>
                <w:szCs w:val="16"/>
              </w:rPr>
              <w:t xml:space="preserve">11 of 54</w:t>
            </w:r>
          </w:p>
        </w:tc>
        <w:tc>
          <w:tcPr>
            <w:tcW w:type="pct" w:w="16%"/>
            <w:tcMar>
              <w:top w:type="dxa" w:w="50"/>
              <w:left w:type="dxa" w:w="80"/>
              <w:bottom w:type="dxa" w:w="50"/>
              <w:right w:type="dxa" w:w="80"/>
            </w:tcMar>
          </w:tcPr>
          <w:p>
            <w:r>
              <w:rPr>
                <w:b w:val="false"/>
                <w:bCs w:val="false"/>
                <w:sz w:val="16"/>
                <w:szCs w:val="16"/>
              </w:rPr>
              <w:t xml:space="preserve">20%</w:t>
            </w:r>
          </w:p>
        </w:tc>
        <w:tc>
          <w:tcPr>
            <w:tcW w:type="pct" w:w="26%"/>
            <w:tcMar>
              <w:top w:type="dxa" w:w="50"/>
              <w:left w:type="dxa" w:w="80"/>
              <w:bottom w:type="dxa" w:w="50"/>
              <w:right w:type="dxa" w:w="80"/>
            </w:tcMar>
          </w:tcPr>
          <w:p>
            <w:r>
              <w:rPr>
                <w:b w:val="false"/>
                <w:bCs w:val="false"/>
                <w:sz w:val="16"/>
                <w:szCs w:val="16"/>
              </w:rPr>
              <w:t xml:space="preserve">71.3%</w:t>
            </w:r>
          </w:p>
        </w:tc>
      </w:tr>
    </w:tbl>
    <w:p>
      <w:pPr>
        <w:pBdr>
          <w:top w:val="single" w:color="A8C8B0" w:sz="6" w:space="6"/>
          <w:bottom w:val="single" w:color="A8C8B0" w:sz="6" w:space="6"/>
          <w:left w:val="single" w:color="A8C8B0" w:sz="6" w:space="6"/>
          <w:right w:val="single" w:color="A8C8B0" w:sz="6" w:space="6"/>
        </w:pBdr>
        <w:shd w:fill="EAF4EC" w:color="auto" w:val="clear"/>
        <w:spacing w:after="120"/>
      </w:pPr>
      <w:r>
        <w:t xml:space="preserve">Across the eleven mapped members, the share of a member's retailers carrying no assigned distributor correlates with their achievement at -0.90, excluding Rahul Singh whose 11 working days make his target non-comparable. Members under 30 per cent unassigned average 75.0 per cent achievement; those at or over 45 per cent average 41.3 per cent. The mechanism is not in doubt - a retailer with no distributor has no route through which to order - so a visit to one cannot convert.</w:t>
      </w:r>
    </w:p>
    <w:p>
      <w:pPr>
        <w:spacing w:after="100"/>
      </w:pPr>
      <w:r>
        <w:t xml:space="preserve">Team-wide that is 381 of 854 retailers, 45 per cent, absorbing 828 visits and returning nothing. It is the largest recoverable inefficiency found anywhere in this project, and it would have stayed hidden if the four sheets had been accepted as non-existent.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Anant Singh file IDs</dc:title>
  <dc:creator>Prayag AI Team</dc:creator>
  <cp:lastModifiedBy>Un-named</cp:lastModifiedBy>
  <cp:revision>1</cp:revision>
  <dcterms:created xsi:type="dcterms:W3CDTF">2026-07-24T14:13:49.133Z</dcterms:created>
  <dcterms:modified xsi:type="dcterms:W3CDTF">2026-07-24T14:13:49.172Z</dcterms:modified>
</cp:coreProperties>
</file>

<file path=docProps/custom.xml><?xml version="1.0" encoding="utf-8"?>
<Properties xmlns="http://schemas.openxmlformats.org/officeDocument/2006/custom-properties" xmlns:vt="http://schemas.openxmlformats.org/officeDocument/2006/docPropsVTypes"/>
</file>