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Global Category Filter</w:t>
        <w:br/>
        <w:t>Taxonomy and Scope Assessment</w:t>
      </w:r>
    </w:p>
    <w:p>
      <w:pPr>
        <w:jc w:val="center"/>
      </w:pPr>
      <w:r>
        <w:rPr>
          <w:i/>
          <w:color w:val="595959"/>
        </w:rPr>
        <w:t>Read-only production investigation • 8 September 2026</w:t>
      </w:r>
    </w:p>
    <w:p>
      <w:pPr>
        <w:jc w:val="center"/>
      </w:pPr>
      <w:r>
        <w:rPr>
          <w:b/>
        </w:rPr>
        <w:t>No files, schema, application logic, or production data were changed.</w:t>
      </w:r>
    </w:p>
    <w:p>
      <w:pPr>
        <w:pStyle w:val="Heading1"/>
      </w:pPr>
      <w:r>
        <w:t>Executive recommendation</w:t>
      </w:r>
    </w:p>
    <w:p>
      <w:r>
        <w:t>Do not use MRP Division directly as the global filter taxonomy. Use a maintained code-to-canonical-category bridge, initially aligned to the 17 sale_line.group_canon categories. This gives complete current-year primary-sales coverage and indexed filtering, while leaving MRP Division, secondary segment, brand, order category, and scheme groups as explicitly mapped source vocabularies rather than pretending they are identical.</w:t>
      </w:r>
    </w:p>
    <w:p>
      <w:pPr>
        <w:pStyle w:val="ListBullet"/>
      </w:pPr>
      <w:r>
        <w:t>MRP Division has composite values and misses 861 currently sold codes worth approximately ₹10.59 Cr.</w:t>
      </w:r>
    </w:p>
    <w:p>
      <w:pPr>
        <w:pStyle w:val="ListBullet"/>
      </w:pPr>
      <w:r>
        <w:t>Secondary segment, Product-Wise category, brand, and scheme item groups are separate business axes.</w:t>
      </w:r>
    </w:p>
    <w:p>
      <w:pPr>
        <w:pStyle w:val="ListBullet"/>
      </w:pPr>
      <w:r>
        <w:t>Several pages have no product grain. Those pages must visibly mark category scope as unavailable rather than silently ignore a global filter.</w:t>
      </w:r>
    </w:p>
    <w:p>
      <w:pPr>
        <w:pStyle w:val="ListBullet"/>
      </w:pPr>
      <w:r>
        <w:t>Estimated implementation: 22–34 engineering days including governance, mappings, APIs, exports, AI payloads, UI, and regression testing.</w:t>
      </w:r>
    </w:p>
    <w:p>
      <w:pPr>
        <w:pStyle w:val="Heading1"/>
      </w:pPr>
      <w:r>
        <w:t>Section A — Vocabularies</w:t>
      </w:r>
    </w:p>
    <w:p>
      <w:pPr>
        <w:pStyle w:val="Heading2"/>
      </w:pPr>
      <w:r>
        <w:t>A1. Category-like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880"/>
            <w:shd w:fill="D9EAF7"/>
          </w:tcPr>
          <w:p>
            <w:r>
              <w:rPr>
                <w:b/>
                <w:sz w:val="15"/>
              </w:rPr>
              <w:t>Vocabulary</w:t>
            </w:r>
          </w:p>
        </w:tc>
        <w:tc>
          <w:tcPr>
            <w:tcW w:type="dxa" w:w="864"/>
            <w:shd w:fill="D9EAF7"/>
          </w:tcPr>
          <w:p>
            <w:r>
              <w:rPr>
                <w:b/>
                <w:sz w:val="15"/>
              </w:rPr>
              <w:t>Distinct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  <w:sz w:val="15"/>
              </w:rPr>
              <w:t>Missing rows</w:t>
            </w:r>
          </w:p>
        </w:tc>
        <w:tc>
          <w:tcPr>
            <w:tcW w:type="dxa" w:w="4752"/>
            <w:shd w:fill="D9EAF7"/>
          </w:tcPr>
          <w:p>
            <w:r>
              <w:rPr>
                <w:b/>
                <w:sz w:val="15"/>
              </w:rPr>
              <w:t>Population/source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sale_line.group_canon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17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2 historical rows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5"/>
              </w:rPr>
              <w:t>Primary register GROUP normalized through group_map.json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sale_line.group_raw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31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2 historical rows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5"/>
              </w:rPr>
              <w:t>Raw primary-register GROUP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item_master.item_group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38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6,588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5"/>
              </w:rPr>
              <w:t>Uploaded/local item master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item_master.segment_source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5,832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5"/>
              </w:rPr>
              <w:t>Source segment from item-master ingestion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item_master.segment_canon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13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5,832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5"/>
              </w:rPr>
              <w:t>item_group_map.json canonicalization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Active MRP division_raw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5"/>
              </w:rPr>
              <w:t>Current authoritative price-catalogue generation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Legacy mrp_master.segment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5"/>
              </w:rPr>
              <w:t>Older MRP master/history pipeline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secondary_sku_line.segment_raw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25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5"/>
              </w:rPr>
              <w:t>PSCode/Product-Wise source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secondary_sku_line.segment_canon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5"/>
              </w:rPr>
              <w:t>group_map.json normalization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secondary_order_line.category_name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24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5"/>
              </w:rPr>
              <w:t>Product-Wise order export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secondary_order_line.segment_canon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0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846,618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5"/>
              </w:rPr>
              <w:t>Column exists but is entirely unpopulated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secondary_register_line.brand_canon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27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165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5"/>
              </w:rPr>
              <w:t>Aggregate secondary-register brand classification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scheme_item_group.item_group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22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5"/>
              </w:rPr>
              <w:t>Scheme definitions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territory_group.group_raw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15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5"/>
              </w:rPr>
              <w:t>Scheme territory routing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sz w:val="15"/>
              </w:rPr>
              <w:t>scheme.product_scope</w:t>
            </w:r>
          </w:p>
        </w:tc>
        <w:tc>
          <w:tcPr>
            <w:tcW w:type="dxa" w:w="864"/>
            <w:vAlign w:val="center"/>
          </w:tcPr>
          <w:p>
            <w:r>
              <w:rPr>
                <w:sz w:val="15"/>
              </w:rPr>
              <w:t>12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—</w:t>
            </w:r>
          </w:p>
        </w:tc>
        <w:tc>
          <w:tcPr>
            <w:tcW w:type="dxa" w:w="4752"/>
            <w:vAlign w:val="center"/>
          </w:tcPr>
          <w:p>
            <w:r>
              <w:rPr>
                <w:sz w:val="15"/>
              </w:rPr>
              <w:t>Scheme-level product descriptions</w:t>
            </w:r>
          </w:p>
        </w:tc>
      </w:tr>
    </w:tbl>
    <w:p/>
    <w:p>
      <w:r>
        <w:t>These fields are not interchangeable. group_canon is the primary reporting group; MRP Division is a catalogue structure; secondary segment is a secondary SKU axis; category_name is Product-Wise order terminology; brand_canon is the finest available aggregate-register product line; scheme groups determine scheme eligibility and routing.</w:t>
      </w:r>
    </w:p>
    <w:p>
      <w:pPr>
        <w:pStyle w:val="Heading2"/>
      </w:pPr>
      <w:r>
        <w:t>A2. Fifty high-value FY26-27 sold codes</w:t>
      </w:r>
    </w:p>
    <w:p>
      <w:r>
        <w:t>Legend: ∅ means no value. The secondary-order segment is empty for all 846,618 order rows. secondary_register_line.brand_canon cannot be joined by code because that table has no item-code column.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936"/>
            <w:shd w:fill="D9EAF7"/>
          </w:tcPr>
          <w:p>
            <w:r>
              <w:rPr>
                <w:b/>
                <w:sz w:val="12"/>
              </w:rPr>
              <w:t>Code</w:t>
            </w:r>
          </w:p>
        </w:tc>
        <w:tc>
          <w:tcPr>
            <w:tcW w:type="dxa" w:w="1080"/>
            <w:shd w:fill="D9EAF7"/>
          </w:tcPr>
          <w:p>
            <w:r>
              <w:rPr>
                <w:b/>
                <w:sz w:val="12"/>
              </w:rPr>
              <w:t>Primary canon</w:t>
            </w:r>
          </w:p>
        </w:tc>
        <w:tc>
          <w:tcPr>
            <w:tcW w:type="dxa" w:w="936"/>
            <w:shd w:fill="D9EAF7"/>
          </w:tcPr>
          <w:p>
            <w:r>
              <w:rPr>
                <w:b/>
                <w:sz w:val="12"/>
              </w:rPr>
              <w:t>Primary raw</w:t>
            </w:r>
          </w:p>
        </w:tc>
        <w:tc>
          <w:tcPr>
            <w:tcW w:type="dxa" w:w="1224"/>
            <w:shd w:fill="D9EAF7"/>
          </w:tcPr>
          <w:p>
            <w:r>
              <w:rPr>
                <w:b/>
                <w:sz w:val="12"/>
              </w:rPr>
              <w:t>Item group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2"/>
              </w:rPr>
              <w:t>Item segment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  <w:sz w:val="12"/>
              </w:rPr>
              <w:t>MRP Division</w:t>
            </w:r>
          </w:p>
        </w:tc>
        <w:tc>
          <w:tcPr>
            <w:tcW w:type="dxa" w:w="1224"/>
            <w:shd w:fill="D9EAF7"/>
          </w:tcPr>
          <w:p>
            <w:r>
              <w:rPr>
                <w:b/>
                <w:sz w:val="12"/>
              </w:rPr>
              <w:t>Secondary segment</w:t>
            </w:r>
          </w:p>
        </w:tc>
        <w:tc>
          <w:tcPr>
            <w:tcW w:type="dxa" w:w="1512"/>
            <w:shd w:fill="D9EAF7"/>
          </w:tcPr>
          <w:p>
            <w:r>
              <w:rPr>
                <w:b/>
                <w:sz w:val="12"/>
              </w:rPr>
              <w:t>Order category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PW11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SWR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SWR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∅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∅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Pipes &amp;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∅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∅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701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CISTERN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CISTERN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TRADING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Ceramic Sanitaryware | PTMT &amp; Plastic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CISTERN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CISTERNS &amp; SEAT COVERS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144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Finish Goods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PTMT &amp; Plastic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P.T.M.T. SYMET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187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Finish Goods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PTMT &amp; Plastic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P.T.M.T. SYMET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121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Finish Goods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PTMT &amp; Plastic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P.T.M.T. SYMET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PS-3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CPVC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CPVC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CPVC PIPE FG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CPVC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Pipes &amp;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CPVC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CPVC DURALIFE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PU-13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UPVC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UPVC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UPVC PIPE FG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UPVC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Pipes &amp;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UPVC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UPVC AQUAFRESH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PS-2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CPVC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CPVC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CPVC PIPE FG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CPVC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Pipes &amp;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CPVC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CPVC DURALIFE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129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Finish Goods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PTMT &amp; Plastic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P.T.M.T. SYMET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324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Connection / Waste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CONNECTION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TRADING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PTMT &amp; Plastic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P.T.M.T. SYMET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120-WS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NA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PTMT &amp; Plastic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P.T.M.T. SYMET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6820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CP (Chrome-Plated)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C P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CP FAUCET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CP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CP Fittings / Faucets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CP (Chrome-Plated)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C.P. 6000 SERIES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PW71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SWR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SWR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∅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∅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Pipes &amp;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∅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∅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PS-13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CPVC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CPVC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CPVC PIPE FG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CPVC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Pipes &amp;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CPVC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CPVC DURALIFE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153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Finish Goods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PTMT &amp; Plastic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P.T.M.T. SYMET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WT-3LL-10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WATER TANK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WATER TANK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∅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Water Tank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Pipes &amp;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WATER TANK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WATER TANKS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124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Finish Goods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PTMT &amp; Plastic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P.T.M.T. SYMET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WT-4LL-10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WATER TANK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WATER TANK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∅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Water Tank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Pipes &amp;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WATER TANK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WATER TANKS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PR-544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CP (Chrome-Plated)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C P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∅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CP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CP Fittings / Faucets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CP (Chrome-Plated)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C.P-CDA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151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Finish Goods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PTMT &amp; Plastic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P.T.M.T. SYMET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121-O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Finish Goods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PTMT &amp; Plastic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P.T.M.T. SYMET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152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Finish Goods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PTMT &amp; Plastic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P.T.M.T. SYMET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123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Finish Goods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PTMT &amp; Plastic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P.T.M.T. SYMET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PS-12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CPVC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CPVC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CPVC PIPE FG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CPVC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Pipes &amp;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CPVC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CPVC DURALIFE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824-D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Sink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SINK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∅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Sink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PTMT &amp; Plastic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Sink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S.STEEL SINK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147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Finish Goods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PTMT &amp; Plastic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P.T.M.T. SYMET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CSS-20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CP (Chrome-Plated)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C P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CP ALLIED; ∅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CP; ∅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CP Fittings / Faucets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CP (Chrome-Plated); PTMT / Faucets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C.P-CDA; P.T.M.T. SYMET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824XD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Sink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SINK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∅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Sink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∅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Sink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S.STEEL SINK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704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CISTERN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CISTERN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∅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Ceramic Sanitaryware | PTMT &amp; Plastic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CISTERN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CISTERNS &amp; SEAT COVERS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C521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CPVC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CPVC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CPVC Finished Goods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CPVC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Pipes &amp;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CPVC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CPVC DURALIFE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501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CISTERN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CISTERN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CISTERN Finished Goods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Ceramic Sanitaryware | PTMT &amp; Plastic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CISTERN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CISTERNS &amp; SEAT COVERS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5111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SWR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SWR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SWR FG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SWR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Pipes &amp;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SWR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SWR DRAINTECH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1813-C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Finish Goods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PTMT &amp; Plastic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P.T.M.T. SYMET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4018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Sanitaryware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SANITARYWARE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SANITARYWARE TRADING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Sanitaryware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Ceramic Sanitaryware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Sanitaryware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SANITARYWARE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PU-13S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UPVC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UPVC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UPVC PIPE FG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UPVC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Pipes &amp;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UPVC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UPVC AQUAFRESH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5208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CP (Chrome-Plated)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C P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∅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CP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CP Fittings / Faucets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CP (Chrome-Plated)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C.P. 5000 SERIES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WCT-3LL-10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WATER TANK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WATER TANK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∅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Water Tank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∅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WATER TANK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WATER TANKS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5306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CP (Chrome-Plated)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C P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∅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CP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CP Fittings / Faucets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CP (Chrome-Plated)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C.P. 5000 SERIES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WT-3LL-05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WATER TANK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WATER TANK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∅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Water Tank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Pipes &amp;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WATER TANK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WATER TANKS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H821-DD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Sink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SINK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∅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Sink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PTMT &amp; Plastic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Sink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S.STEEL SINK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4011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Sanitaryware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SANITARYWARE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∅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Sanitaryware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Ceramic Sanitaryware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Sanitaryware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SANITARYWARE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WT-4LC-07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WATER TANK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WATER TANK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∅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Water Tank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Pipes &amp;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WATER TANK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WATER TANKS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H821-D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Sink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SINK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∅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Sink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PTMT &amp; Plastic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Sink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S.STEEL SINK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5275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CP (Chrome-Plated)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C P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∅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CP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CP Fittings / Faucets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CP (Chrome-Plated)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C.P. 5000 SERIES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132-T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Finish Goods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PTMT &amp; Plastic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P.T.M.T. SYMET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PR-244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CP (Chrome-Plated)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C P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∅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CP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CP Fittings / Faucets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CP (Chrome-Plated)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C.P-CDA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5206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CP (Chrome-Plated)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C P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∅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CP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CP Fittings / Faucets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CP (Chrome-Plated)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C.P. 5000 SERIES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4012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Sanitaryware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SANITARYWARE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SANITARYWARE TRADING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Sanitaryware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Ceramic Sanitaryware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Sanitaryware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SANITARYWARE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5308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CP (Chrome-Plated)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C P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∅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CP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CP Fittings / Faucets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CP (Chrome-Plated)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C.P. 5000 SERIES</w:t>
            </w:r>
          </w:p>
        </w:tc>
      </w:tr>
      <w:tr>
        <w:tc>
          <w:tcPr>
            <w:tcW w:type="dxa" w:w="936"/>
            <w:vAlign w:val="center"/>
          </w:tcPr>
          <w:p>
            <w:r>
              <w:rPr>
                <w:sz w:val="12"/>
              </w:rPr>
              <w:t>188</w:t>
            </w:r>
          </w:p>
        </w:tc>
        <w:tc>
          <w:tcPr>
            <w:tcW w:type="dxa" w:w="1080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Finish Goods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2"/>
              </w:rPr>
              <w:t>PTMT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2"/>
              </w:rPr>
              <w:t>PTMT &amp; Plastic Fittings</w:t>
            </w:r>
          </w:p>
        </w:tc>
        <w:tc>
          <w:tcPr>
            <w:tcW w:type="dxa" w:w="1224"/>
            <w:vAlign w:val="center"/>
          </w:tcPr>
          <w:p>
            <w:r>
              <w:rPr>
                <w:sz w:val="12"/>
              </w:rPr>
              <w:t>PTMT / Faucets</w:t>
            </w:r>
          </w:p>
        </w:tc>
        <w:tc>
          <w:tcPr>
            <w:tcW w:type="dxa" w:w="1512"/>
            <w:vAlign w:val="center"/>
          </w:tcPr>
          <w:p>
            <w:r>
              <w:rPr>
                <w:sz w:val="12"/>
              </w:rPr>
              <w:t>P.T.M.T. SYMET</w:t>
            </w:r>
          </w:p>
        </w:tc>
      </w:tr>
    </w:tbl>
    <w:p/>
    <w:p>
      <w:r>
        <w:t>The sample demonstrates material disagreement even among the highest-value products: Cistern is PTMT in one master but a Ceramic/PTMT composite in MRP; Connection/Waste resolves to PTMT; Water Tank resolves to Pipes &amp; Fittings in MRP; and multiple codes have no item-master or MRP classification.</w:t>
      </w:r>
    </w:p>
    <w:p>
      <w:pPr>
        <w:pStyle w:val="Heading2"/>
      </w:pPr>
      <w:r>
        <w:t>A3. Primary groups versus MRP Divisions</w:t>
      </w:r>
    </w:p>
    <w:p>
      <w:r>
        <w:t>The 17 primary groups do not map one-to-one to MRP Divisions.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D9EAF7"/>
          </w:tcPr>
          <w:p>
            <w:r>
              <w:rPr>
                <w:b/>
                <w:sz w:val="15"/>
              </w:rPr>
              <w:t>Primary group</w:t>
            </w:r>
          </w:p>
        </w:tc>
        <w:tc>
          <w:tcPr>
            <w:tcW w:type="dxa" w:w="3024"/>
            <w:shd w:fill="D9EAF7"/>
          </w:tcPr>
          <w:p>
            <w:r>
              <w:rPr>
                <w:b/>
                <w:sz w:val="15"/>
              </w:rPr>
              <w:t>Predominant MRP outcome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  <w:sz w:val="15"/>
              </w:rPr>
              <w:t>Breaks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5"/>
              </w:rPr>
              <w:t>AGRI, COLUMN, CPVC, HDPE, PPR, SWR, UPVC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5"/>
              </w:rPr>
              <w:t>Pipes &amp; Fittings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5"/>
              </w:rPr>
              <w:t>Some sold codes have no MRP match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5"/>
              </w:rPr>
              <w:t>Sanitaryware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5"/>
              </w:rPr>
              <w:t>Ceramic Sanitaryware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5"/>
              </w:rPr>
              <w:t>Some missing; composite exceptions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5"/>
              </w:rPr>
              <w:t>PTMT / Faucets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5"/>
              </w:rPr>
              <w:t>PTMT &amp; Plastic Fittings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5"/>
              </w:rPr>
              <w:t>Missing and Ceramic/PTMT composite codes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5"/>
              </w:rPr>
              <w:t>CISTERN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5"/>
              </w:rPr>
              <w:t>Ceramic or Ceramic | PTMT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5"/>
              </w:rPr>
              <w:t>Crosses scalar and composite Divisions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5"/>
              </w:rPr>
              <w:t>CP (Chrome-Plated)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5"/>
              </w:rPr>
              <w:t>CP Fittings / Faucets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5"/>
              </w:rPr>
              <w:t>Also PTMT, CP|PTMT, CP|Ceramic, and missing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5"/>
              </w:rPr>
              <w:t>Connection / Waste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5"/>
              </w:rPr>
              <w:t>PTMT &amp; Plastic Fittings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5"/>
              </w:rPr>
              <w:t>Missing codes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5"/>
              </w:rPr>
              <w:t>Garden Pipe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5"/>
              </w:rPr>
              <w:t>PTMT &amp; Plastic Fittings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5"/>
              </w:rPr>
              <w:t>Missing codes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5"/>
              </w:rPr>
              <w:t>Hardware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5"/>
              </w:rPr>
              <w:t>Hardware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5"/>
              </w:rPr>
              <w:t>Also CP, three-way composite, and missing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5"/>
              </w:rPr>
              <w:t>Sink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5"/>
              </w:rPr>
              <w:t>PTMT &amp; Plastic Fittings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5"/>
              </w:rPr>
              <w:t>Many missing codes</w:t>
            </w:r>
          </w:p>
        </w:tc>
      </w:tr>
      <w:tr>
        <w:tc>
          <w:tcPr>
            <w:tcW w:type="dxa" w:w="2160"/>
            <w:vAlign w:val="center"/>
          </w:tcPr>
          <w:p>
            <w:r>
              <w:rPr>
                <w:sz w:val="15"/>
              </w:rPr>
              <w:t>Water Tank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5"/>
              </w:rPr>
              <w:t>Pipes &amp; Fittings</w:t>
            </w:r>
          </w:p>
        </w:tc>
        <w:tc>
          <w:tcPr>
            <w:tcW w:type="dxa" w:w="4320"/>
            <w:vAlign w:val="center"/>
          </w:tcPr>
          <w:p>
            <w:r>
              <w:rPr>
                <w:sz w:val="15"/>
              </w:rPr>
              <w:t>Missing codes</w:t>
            </w:r>
          </w:p>
        </w:tc>
      </w:tr>
    </w:tbl>
    <w:p/>
    <w:p>
      <w:r>
        <w:t>Result: 861 FY26-27 sold codes have no active MRP Division, representing approximately ₹10.59 Cr. A 17-row group-to-Division map is therefore insufficient; mapping must be item-code based and optionally many-to-many.</w:t>
      </w:r>
    </w:p>
    <w:p>
      <w:pPr>
        <w:pStyle w:val="Heading2"/>
      </w:pPr>
      <w:r>
        <w:t>A4. Composite MRP Divisions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776"/>
            <w:shd w:fill="D9EAF7"/>
          </w:tcPr>
          <w:p>
            <w:r>
              <w:rPr>
                <w:b/>
                <w:sz w:val="16"/>
              </w:rPr>
              <w:t>Composite Division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6"/>
              </w:rPr>
              <w:t>Codes</w:t>
            </w:r>
          </w:p>
        </w:tc>
      </w:tr>
      <w:tr>
        <w:tc>
          <w:tcPr>
            <w:tcW w:type="dxa" w:w="7776"/>
            <w:vAlign w:val="center"/>
          </w:tcPr>
          <w:p>
            <w:r>
              <w:rPr>
                <w:sz w:val="16"/>
              </w:rPr>
              <w:t>Ceramic Sanitaryware | PTMT &amp; Plastic Fittings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50</w:t>
            </w:r>
          </w:p>
        </w:tc>
      </w:tr>
      <w:tr>
        <w:tc>
          <w:tcPr>
            <w:tcW w:type="dxa" w:w="7776"/>
            <w:vAlign w:val="center"/>
          </w:tcPr>
          <w:p>
            <w:r>
              <w:rPr>
                <w:sz w:val="16"/>
              </w:rPr>
              <w:t>CP Fittings / Faucets | PTMT &amp; Plastic Fittings | Pipes &amp; Fittings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7776"/>
            <w:vAlign w:val="center"/>
          </w:tcPr>
          <w:p>
            <w:r>
              <w:rPr>
                <w:sz w:val="16"/>
              </w:rPr>
              <w:t>CP Fittings / Faucets | Ceramic Sanitaryware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7776"/>
            <w:vAlign w:val="center"/>
          </w:tcPr>
          <w:p>
            <w:r>
              <w:rPr>
                <w:sz w:val="16"/>
              </w:rPr>
              <w:t>CP Fittings / Faucets | PTMT &amp; Plastic Fittings</w:t>
            </w:r>
          </w:p>
        </w:tc>
        <w:tc>
          <w:tcPr>
            <w:tcW w:type="dxa" w:w="1440"/>
            <w:vAlign w:val="center"/>
          </w:tcPr>
          <w:p>
            <w:r>
              <w:rPr>
                <w:sz w:val="16"/>
              </w:rPr>
              <w:t>2</w:t>
            </w:r>
          </w:p>
        </w:tc>
      </w:tr>
    </w:tbl>
    <w:p/>
    <w:p>
      <w:pPr>
        <w:pStyle w:val="ListNumber"/>
      </w:pPr>
      <w:r>
        <w:t>Normalize composites into an item-code-to-Division bridge.</w:t>
      </w:r>
    </w:p>
    <w:p>
      <w:pPr>
        <w:pStyle w:val="ListNumber"/>
      </w:pPr>
      <w:r>
        <w:t>Treat each listed Division as membership: selecting any member Division includes the product.</w:t>
      </w:r>
    </w:p>
    <w:p>
      <w:pPr>
        <w:pStyle w:val="ListNumber"/>
      </w:pPr>
      <w:r>
        <w:t>Permit a product to appear under multiple Division tabs.</w:t>
      </w:r>
    </w:p>
    <w:p>
      <w:pPr>
        <w:pStyle w:val="ListNumber"/>
      </w:pPr>
      <w:r>
        <w:t>Deduplicate by item code in All totals.</w:t>
      </w:r>
    </w:p>
    <w:p>
      <w:pPr>
        <w:pStyle w:val="ListNumber"/>
      </w:pPr>
      <w:r>
        <w:t>Never silently use only the first Division.</w:t>
      </w:r>
    </w:p>
    <w:p>
      <w:pPr>
        <w:pStyle w:val="ListNumber"/>
      </w:pPr>
      <w:r>
        <w:t>State the selected Division and many-to-many rule in exports.</w:t>
      </w:r>
    </w:p>
    <w:p>
      <w:pPr>
        <w:pStyle w:val="Heading2"/>
      </w:pPr>
      <w:r>
        <w:t>A5. Missing sold-code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600"/>
            <w:shd w:fill="D9EAF7"/>
          </w:tcPr>
          <w:p>
            <w:r>
              <w:rPr>
                <w:b/>
                <w:sz w:val="16"/>
              </w:rPr>
              <w:t>Vocabulary/bridge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  <w:sz w:val="16"/>
              </w:rPr>
              <w:t>Missing sold codes</w:t>
            </w:r>
          </w:p>
        </w:tc>
        <w:tc>
          <w:tcPr>
            <w:tcW w:type="dxa" w:w="2448"/>
            <w:shd w:fill="D9EAF7"/>
          </w:tcPr>
          <w:p>
            <w:r>
              <w:rPr>
                <w:b/>
                <w:sz w:val="16"/>
              </w:rPr>
              <w:t>Primary value represented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sz w:val="16"/>
              </w:rPr>
              <w:t>sale_line.group_canon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6"/>
              </w:rPr>
              <w:t>₹0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sz w:val="16"/>
              </w:rPr>
              <w:t>sale_line.group_raw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6"/>
              </w:rPr>
              <w:t>₹0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sz w:val="16"/>
              </w:rPr>
              <w:t>item_master.item_group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2,152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6"/>
              </w:rPr>
              <w:t>₹53.42 Cr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sz w:val="16"/>
              </w:rPr>
              <w:t>item_master.segment_canon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898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6"/>
              </w:rPr>
              <w:t>₹15.08 Cr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sz w:val="16"/>
              </w:rPr>
              <w:t>Active MRP Division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861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6"/>
              </w:rPr>
              <w:t>₹10.59 Cr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sz w:val="16"/>
              </w:rPr>
              <w:t>Secondary SKU code coverage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1,368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6"/>
              </w:rPr>
              <w:t>₹16.78 Cr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sz w:val="16"/>
              </w:rPr>
              <w:t>Secondary-order code coverage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1,323</w:t>
            </w:r>
          </w:p>
        </w:tc>
        <w:tc>
          <w:tcPr>
            <w:tcW w:type="dxa" w:w="2448"/>
            <w:vAlign w:val="center"/>
          </w:tcPr>
          <w:p>
            <w:r>
              <w:rPr>
                <w:sz w:val="16"/>
              </w:rPr>
              <w:t>₹16.47 Cr</w:t>
            </w:r>
          </w:p>
        </w:tc>
      </w:tr>
    </w:tbl>
    <w:p/>
    <w:p>
      <w:r>
        <w:t>Products “Unmapped” for FY26-27: 0 codes, 0 rows, ₹0. Across historical current rows, FY24-25 has one code across two rows with missing group_canon, worth ₹1,14,854.99. The Unmapped label is therefore currently a defensive fallback rather than a material FY26-27 bucket.</w:t>
      </w:r>
    </w:p>
    <w:p>
      <w:pPr>
        <w:pStyle w:val="Heading1"/>
      </w:pPr>
      <w:r>
        <w:t>Section B — Recommended taxonomy</w:t>
      </w:r>
    </w:p>
    <w:p>
      <w:pPr>
        <w:pStyle w:val="Heading2"/>
      </w:pPr>
      <w:r>
        <w:t>B1. Authority</w:t>
      </w:r>
    </w:p>
    <w:p>
      <w:r>
        <w:t>Create a database-backed canonical code-category registry. Seed its labels from the 17 primary group_canon categories, because they already drive Products/SKU, cover every FY26-27 primary sold code, and support indexed server-side filtering. Record source, review status, effective dates, and explicit many-to-many membership where needed.</w:t>
      </w:r>
    </w:p>
    <w:p>
      <w:r>
        <w:t>Do not choose MRP Division as authority: it cuts across primary groups, contains composites, misses ₹10.59 Cr of sold-code value, and sometimes identifies a product by item_code plus segment rather than code alone.</w:t>
      </w:r>
    </w:p>
    <w:p>
      <w:pPr>
        <w:pStyle w:val="Heading2"/>
      </w:pPr>
      <w:r>
        <w:t>B2. Secondary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shd w:fill="D9EAF7"/>
          </w:tcPr>
          <w:p>
            <w:r>
              <w:rPr>
                <w:b/>
                <w:sz w:val="16"/>
              </w:rPr>
              <w:t>Source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  <w:sz w:val="16"/>
              </w:rPr>
              <w:t>Can be reconciled?</w:t>
            </w:r>
          </w:p>
        </w:tc>
        <w:tc>
          <w:tcPr>
            <w:tcW w:type="dxa" w:w="4608"/>
            <w:shd w:fill="D9EAF7"/>
          </w:tcPr>
          <w:p>
            <w:r>
              <w:rPr>
                <w:b/>
                <w:sz w:val="16"/>
              </w:rPr>
              <w:t>Method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secondary_sku_line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Join item_code to canonical code-category registry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secondary_order_line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Join product_code; add supporting index; current segment_canon is empty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MRP catalogue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Join item_code through normalized many-to-many bridge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secondary_register_line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Not safely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Only brand_canon exists; no item code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Pre-aggregated Sheets reports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Often no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Product grain has already been discarded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6"/>
              </w:rPr>
              <w:t>People, visits, roster, organization</w:t>
            </w:r>
          </w:p>
        </w:tc>
        <w:tc>
          <w:tcPr>
            <w:tcW w:type="dxa" w:w="1728"/>
            <w:vAlign w:val="center"/>
          </w:tcPr>
          <w:p>
            <w:r>
              <w:rPr>
                <w:sz w:val="16"/>
              </w:rPr>
              <w:t>Not applicable</w:t>
            </w:r>
          </w:p>
        </w:tc>
        <w:tc>
          <w:tcPr>
            <w:tcW w:type="dxa" w:w="4608"/>
            <w:vAlign w:val="center"/>
          </w:tcPr>
          <w:p>
            <w:r>
              <w:rPr>
                <w:sz w:val="16"/>
              </w:rPr>
              <w:t>No product dimension</w:t>
            </w:r>
          </w:p>
        </w:tc>
      </w:tr>
    </w:tbl>
    <w:p/>
    <w:p>
      <w:r>
        <w:t>Brand-only mapping would be lossy and frequently many-to-many. If introduced, it must be separately governed and visibly marked as approximate. A global filter that silently does nothing is unacceptable.</w:t>
      </w:r>
    </w:p>
    <w:p>
      <w:pPr>
        <w:pStyle w:val="Heading2"/>
      </w:pPr>
      <w:r>
        <w:t>B3. Governance and new codes</w:t>
      </w:r>
    </w:p>
    <w:p>
      <w:pPr>
        <w:pStyle w:val="ListBullet"/>
      </w:pPr>
      <w:r>
        <w:t>Commercial/Product Master owner approves canonical classifications.</w:t>
      </w:r>
    </w:p>
    <w:p>
      <w:pPr>
        <w:pStyle w:val="ListBullet"/>
      </w:pPr>
      <w:r>
        <w:t>Data team maintains source mappings and drift monitoring.</w:t>
      </w:r>
    </w:p>
    <w:p>
      <w:pPr>
        <w:pStyle w:val="ListBullet"/>
      </w:pPr>
      <w:r>
        <w:t>New or unknown codes enter an explicit Unmapped review queue.</w:t>
      </w:r>
    </w:p>
    <w:p>
      <w:pPr>
        <w:pStyle w:val="ListBullet"/>
      </w:pPr>
      <w:r>
        <w:t>Unmapped rows stay in All totals and never disappear.</w:t>
      </w:r>
    </w:p>
    <w:p>
      <w:pPr>
        <w:pStyle w:val="ListBullet"/>
      </w:pPr>
      <w:r>
        <w:t>Named-category selections exclude Unmapped unless explicitly selected.</w:t>
      </w:r>
    </w:p>
    <w:p>
      <w:pPr>
        <w:pStyle w:val="ListBullet"/>
      </w:pPr>
      <w:r>
        <w:t>Exports show mapped and unmapped value.</w:t>
      </w:r>
    </w:p>
    <w:p>
      <w:pPr>
        <w:pStyle w:val="ListBullet"/>
      </w:pPr>
      <w:r>
        <w:t>Scheme item groups remain independently governed; category remapping must not alter scheme eligibility automatically.</w:t>
      </w:r>
    </w:p>
    <w:p>
      <w:pPr>
        <w:pStyle w:val="Heading1"/>
      </w:pPr>
      <w:r>
        <w:t>Section C — Scope of change</w:t>
      </w:r>
    </w:p>
    <w:p>
      <w:pPr>
        <w:pStyle w:val="Heading2"/>
      </w:pPr>
      <w:r>
        <w:t>C1. Pages, reports, exports and AI payloads</w:t>
      </w:r>
    </w:p>
    <w:p>
      <w:r>
        <w:t>Transactional figures requiring category scope: Overview, Regional, Products, Momentum, Growth, Reports, Company Reports, Comparison, Pending Orders, Sales, Secondary Orders, SKU Deep Dive, relevant MRP catalogue/calculator/history views, MRP Competition, GP Margin, Market Survey, Customer Performance, Alerts, Warnings, and category-specific Data Health checks.</w:t>
      </w:r>
    </w:p>
    <w:p>
      <w:r>
        <w:t>Mixed or non-applicable surfaces: Coverage may filter sales but not visits/people coverage; current person/company targets have no category allocation; Organization, People, Users, API Keys, Activity and authentication are not category-filterable; Customer Master records have no category although customer performance does.</w:t>
      </w:r>
    </w:p>
    <w:p>
      <w:r>
        <w:t>Affected report/API families include company, regional, coverage, product, momentum, customer-performance, all SKU analytical endpoints, secondary orders, warnings, market survey, comparison and analytics exports.</w:t>
      </w:r>
    </w:p>
    <w:p>
      <w:r>
        <w:t>Every AI path receiving transactional figures must carry the normalized category through payload construction before aggregation and numeric guards: ai/payload, report, full-report, state-head, distributor, review, presentation, suggestions, performance review, travel plan, chat and batch families.</w:t>
      </w:r>
    </w:p>
    <w:p>
      <w:r>
        <w:t>Affected exports include Company, Regional, Coverage, Products, Momentum, Customer Performance, SKU, SKU volume decline, SKU price shrinkers, Secondary Orders, Market Survey, Comparison, Analytics, Warnings, transactional Customer Master, and applicable Audit/Coverage Verification outputs.</w:t>
      </w:r>
    </w:p>
    <w:p>
      <w:pPr>
        <w:pStyle w:val="Heading2"/>
      </w:pPr>
      <w:r>
        <w:t>C2.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shd w:fill="D9EAF7"/>
          </w:tcPr>
          <w:p>
            <w:r>
              <w:rPr>
                <w:b/>
                <w:sz w:val="15"/>
              </w:rPr>
              <w:t>Path</w:t>
            </w:r>
          </w:p>
        </w:tc>
        <w:tc>
          <w:tcPr>
            <w:tcW w:type="dxa" w:w="3024"/>
            <w:shd w:fill="D9EAF7"/>
          </w:tcPr>
          <w:p>
            <w:r>
              <w:rPr>
                <w:b/>
                <w:sz w:val="15"/>
              </w:rPr>
              <w:t>Treatment</w:t>
            </w:r>
          </w:p>
        </w:tc>
        <w:tc>
          <w:tcPr>
            <w:tcW w:type="dxa" w:w="3744"/>
            <w:shd w:fill="D9EAF7"/>
          </w:tcPr>
          <w:p>
            <w:r>
              <w:rPr>
                <w:b/>
                <w:sz w:val="15"/>
              </w:rPr>
              <w:t>Performance note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5"/>
              </w:rPr>
              <w:t>sale_line.group_canon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5"/>
              </w:rPr>
              <w:t>Direct indexed predicate before aggregation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5"/>
              </w:rPr>
              <w:t>Existing (fy, group_canon) index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5"/>
              </w:rPr>
              <w:t>secondary_sku_line.segment_canon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5"/>
              </w:rPr>
              <w:t>Direct index only if segment semantics accepted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5"/>
              </w:rPr>
              <w:t>Existing (fy, segment_canon) index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5"/>
              </w:rPr>
              <w:t>Canonical code registry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5"/>
              </w:rPr>
              <w:t>Join before aggregation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5"/>
              </w:rPr>
              <w:t>Index category+code and code+category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5"/>
              </w:rPr>
              <w:t>MRP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5"/>
              </w:rPr>
              <w:t>Join normalized code-Division bridge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5"/>
              </w:rPr>
              <w:t>Deduplicate many-to-many totals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5"/>
              </w:rPr>
              <w:t>secondary_order_line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5"/>
              </w:rPr>
              <w:t>Join product_code registry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5"/>
              </w:rPr>
              <w:t>846,618 rows; add fiscal-year/category or code index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5"/>
              </w:rPr>
              <w:t>secondary_register_line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5"/>
              </w:rPr>
              <w:t>Cannot exactly filter by canonical category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5"/>
              </w:rPr>
              <w:t>Brand-only aggregate source</w:t>
            </w:r>
          </w:p>
        </w:tc>
      </w:tr>
      <w:tr>
        <w:tc>
          <w:tcPr>
            <w:tcW w:type="dxa" w:w="2448"/>
            <w:vAlign w:val="center"/>
          </w:tcPr>
          <w:p>
            <w:r>
              <w:rPr>
                <w:sz w:val="15"/>
              </w:rPr>
              <w:t>Pre-aggregated Sheets/Deep Dive caches</w:t>
            </w:r>
          </w:p>
        </w:tc>
        <w:tc>
          <w:tcPr>
            <w:tcW w:type="dxa" w:w="3024"/>
            <w:vAlign w:val="center"/>
          </w:tcPr>
          <w:p>
            <w:r>
              <w:rPr>
                <w:sz w:val="15"/>
              </w:rPr>
              <w:t>Must rebuild with category at source grain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5"/>
              </w:rPr>
              <w:t>Post-filtering aggregate totals is incorrect</w:t>
            </w:r>
          </w:p>
        </w:tc>
      </w:tr>
    </w:tbl>
    <w:p/>
    <w:p>
      <w:pPr>
        <w:pStyle w:val="Heading2"/>
      </w:pPr>
      <w:r>
        <w:t>C3. Export contract</w:t>
      </w:r>
    </w:p>
    <w:p>
      <w:pPr>
        <w:pStyle w:val="ListBullet"/>
      </w:pPr>
      <w:r>
        <w:t>Selected canonical category/categories and All semantics.</w:t>
      </w:r>
    </w:p>
    <w:p>
      <w:pPr>
        <w:pStyle w:val="ListBullet"/>
      </w:pPr>
      <w:r>
        <w:t>Whether Unmapped is included.</w:t>
      </w:r>
    </w:p>
    <w:p>
      <w:pPr>
        <w:pStyle w:val="ListBullet"/>
      </w:pPr>
      <w:r>
        <w:t>Taxonomy version and source mapping.</w:t>
      </w:r>
    </w:p>
    <w:p>
      <w:pPr>
        <w:pStyle w:val="ListBullet"/>
      </w:pPr>
      <w:r>
        <w:t>Any approximate brand mapping.</w:t>
      </w:r>
    </w:p>
    <w:p>
      <w:pPr>
        <w:pStyle w:val="ListBullet"/>
      </w:pPr>
      <w:r>
        <w:t>Period and entity scope.</w:t>
      </w:r>
    </w:p>
    <w:p>
      <w:pPr>
        <w:pStyle w:val="ListBullet"/>
      </w:pPr>
      <w:r>
        <w:t>Many-to-many Division membership rule.</w:t>
      </w:r>
    </w:p>
    <w:p>
      <w:pPr>
        <w:pStyle w:val="ListBullet"/>
      </w:pPr>
      <w:r>
        <w:t>The same normalized scope used by the screen and every data sheet—not independent export re-derivation.</w:t>
      </w:r>
    </w:p>
    <w:p>
      <w:pPr>
        <w:pStyle w:val="Heading2"/>
      </w:pPr>
      <w:r>
        <w:t>C4. Products tabs and global filter</w:t>
      </w:r>
    </w:p>
    <w:p>
      <w:r>
        <w:t>If Products tabs use the same canonical taxonomy, they should synchronize with the global filter rather than create a second hidden filter. Selecting a tab updates the global category; changing global category selects the corresponding tab; All maps to All.</w:t>
      </w:r>
    </w:p>
    <w:p>
      <w:r>
        <w:t>If tabs use a different dimension such as MRP Division, they must intersect with the global canonical category. Both scopes must remain visible, with a clear empty state. A tab must never silently override global scope.</w:t>
      </w:r>
    </w:p>
    <w:p>
      <w:pPr>
        <w:pStyle w:val="Heading2"/>
      </w:pPr>
      <w:r>
        <w:t>C5. Estimate and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6336"/>
            <w:shd w:fill="D9EAF7"/>
          </w:tcPr>
          <w:p>
            <w:r>
              <w:rPr>
                <w:b/>
                <w:sz w:val="16"/>
              </w:rPr>
              <w:t>Workstream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6"/>
              </w:rPr>
              <w:t>Estimate</w:t>
            </w:r>
          </w:p>
        </w:tc>
      </w:tr>
      <w:tr>
        <w:tc>
          <w:tcPr>
            <w:tcW w:type="dxa" w:w="6336"/>
            <w:vAlign w:val="center"/>
          </w:tcPr>
          <w:p>
            <w:r>
              <w:rPr>
                <w:sz w:val="16"/>
              </w:rPr>
              <w:t>Taxonomy approval and mapping design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3–5 days</w:t>
            </w:r>
          </w:p>
        </w:tc>
      </w:tr>
      <w:tr>
        <w:tc>
          <w:tcPr>
            <w:tcW w:type="dxa" w:w="6336"/>
            <w:vAlign w:val="center"/>
          </w:tcPr>
          <w:p>
            <w:r>
              <w:rPr>
                <w:sz w:val="16"/>
              </w:rPr>
              <w:t>Registry schema, loaders and backfill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4–6 days</w:t>
            </w:r>
          </w:p>
        </w:tc>
      </w:tr>
      <w:tr>
        <w:tc>
          <w:tcPr>
            <w:tcW w:type="dxa" w:w="6336"/>
            <w:vAlign w:val="center"/>
          </w:tcPr>
          <w:p>
            <w:r>
              <w:rPr>
                <w:sz w:val="16"/>
              </w:rPr>
              <w:t>Primary/secondary API propagation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6–9 days</w:t>
            </w:r>
          </w:p>
        </w:tc>
      </w:tr>
      <w:tr>
        <w:tc>
          <w:tcPr>
            <w:tcW w:type="dxa" w:w="6336"/>
            <w:vAlign w:val="center"/>
          </w:tcPr>
          <w:p>
            <w:r>
              <w:rPr>
                <w:sz w:val="16"/>
              </w:rPr>
              <w:t>UI/global context and Products tabs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3–5 days</w:t>
            </w:r>
          </w:p>
        </w:tc>
      </w:tr>
      <w:tr>
        <w:tc>
          <w:tcPr>
            <w:tcW w:type="dxa" w:w="6336"/>
            <w:vAlign w:val="center"/>
          </w:tcPr>
          <w:p>
            <w:r>
              <w:rPr>
                <w:sz w:val="16"/>
              </w:rPr>
              <w:t>Exports and Info-sheet contracts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3–5 days</w:t>
            </w:r>
          </w:p>
        </w:tc>
      </w:tr>
      <w:tr>
        <w:tc>
          <w:tcPr>
            <w:tcW w:type="dxa" w:w="6336"/>
            <w:vAlign w:val="center"/>
          </w:tcPr>
          <w:p>
            <w:r>
              <w:rPr>
                <w:sz w:val="16"/>
              </w:rPr>
              <w:t>AI payloads, numeric guards and cache keys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2–4 days</w:t>
            </w:r>
          </w:p>
        </w:tc>
      </w:tr>
      <w:tr>
        <w:tc>
          <w:tcPr>
            <w:tcW w:type="dxa" w:w="6336"/>
            <w:vAlign w:val="center"/>
          </w:tcPr>
          <w:p>
            <w:r>
              <w:rPr>
                <w:sz w:val="16"/>
              </w:rPr>
              <w:t>Reconciliation, performance and regression testing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4–6 days</w:t>
            </w:r>
          </w:p>
        </w:tc>
      </w:tr>
      <w:tr>
        <w:tc>
          <w:tcPr>
            <w:tcW w:type="dxa" w:w="6336"/>
            <w:vAlign w:val="center"/>
          </w:tcPr>
          <w:p>
            <w:r>
              <w:rPr>
                <w:sz w:val="16"/>
              </w:rPr>
              <w:t>Total</w:t>
            </w:r>
          </w:p>
        </w:tc>
        <w:tc>
          <w:tcPr>
            <w:tcW w:type="dxa" w:w="2160"/>
            <w:vAlign w:val="center"/>
          </w:tcPr>
          <w:p>
            <w:r>
              <w:rPr>
                <w:sz w:val="16"/>
              </w:rPr>
              <w:t>22–34 engineering days</w:t>
            </w:r>
          </w:p>
        </w:tc>
      </w:tr>
    </w:tbl>
    <w:p/>
    <w:p>
      <w:pPr>
        <w:pStyle w:val="ListBullet"/>
      </w:pPr>
      <w:r>
        <w:t>False equivalence among group, segment, brand and Division labels.</w:t>
      </w:r>
    </w:p>
    <w:p>
      <w:pPr>
        <w:pStyle w:val="ListBullet"/>
      </w:pPr>
      <w:r>
        <w:t>Composite Divisions causing double counting.</w:t>
      </w:r>
    </w:p>
    <w:p>
      <w:pPr>
        <w:pStyle w:val="ListBullet"/>
      </w:pPr>
      <w:r>
        <w:t>Silent no-op behavior on category-less pages.</w:t>
      </w:r>
    </w:p>
    <w:p>
      <w:pPr>
        <w:pStyle w:val="ListBullet"/>
      </w:pPr>
      <w:r>
        <w:t>Secondary-order performance without a supporting index.</w:t>
      </w:r>
    </w:p>
    <w:p>
      <w:pPr>
        <w:pStyle w:val="ListBullet"/>
      </w:pPr>
      <w:r>
        <w:t>Post-filtering data after product grain has been discarded.</w:t>
      </w:r>
    </w:p>
    <w:p>
      <w:pPr>
        <w:pStyle w:val="ListBullet"/>
      </w:pPr>
      <w:r>
        <w:t>Screen/export/AI category scope drifting apart.</w:t>
      </w:r>
    </w:p>
    <w:p>
      <w:pPr>
        <w:pStyle w:val="ListBullet"/>
      </w:pPr>
      <w:r>
        <w:t>Snapshot and cache keys serving unfiltered payloads.</w:t>
      </w:r>
    </w:p>
    <w:p>
      <w:pPr>
        <w:pStyle w:val="ListBullet"/>
      </w:pPr>
      <w:r>
        <w:t>Unknown codes disappearing instead of remaining visible as Unmapped.</w:t>
      </w:r>
    </w:p>
    <w:p>
      <w:pPr>
        <w:pStyle w:val="ListBullet"/>
      </w:pPr>
      <w:r>
        <w:t>Accidental changes to scheme eligibility.</w:t>
      </w:r>
    </w:p>
    <w:p>
      <w:pPr>
        <w:pStyle w:val="ListBullet"/>
      </w:pPr>
      <w:r>
        <w:t>Category scope changing SKU peer-cohort denominators.</w:t>
      </w:r>
    </w:p>
    <w:p>
      <w:pPr>
        <w:pStyle w:val="Heading1"/>
      </w:pPr>
      <w:r>
        <w:t>Final decision</w:t>
      </w:r>
    </w:p>
    <w:p>
      <w:r>
        <w:t>Postpone a genuinely global filter until an approved code-level canonical category registry exists. The safest first boundary is primary Sales, Products, Growth and primary SKU using the 17 canonical groups; then code-grain secondary SKU and Product-Wise orders through the registry. Brand-only, organizational, target and visit-only surfaces should be explicitly unsupported until a reviewed source mapping exists.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Prayag Sales Intelligence • Read-only taxonomy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72C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