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Scheme Reward Slab Pre-Alignment Audit</w:t>
      </w:r>
    </w:p>
    <w:p>
      <w:pPr>
        <w:jc w:val="center"/>
      </w:pPr>
      <w:r>
        <w:rPr>
          <w:b/>
          <w:color w:val="44546A"/>
        </w:rPr>
        <w:t>Development vs Production • 7 September 2026</w:t>
      </w:r>
    </w:p>
    <w:p>
      <w:pPr>
        <w:jc w:val="center"/>
      </w:pPr>
      <w:r>
        <w:rPr>
          <w:i/>
        </w:rPr>
        <w:t>Read-only investigation. No publish, rename, migration, restart, or database write performed.</w:t>
      </w:r>
    </w:p>
    <w:p>
      <w:pPr>
        <w:pStyle w:val="Heading1"/>
      </w:pPr>
      <w:r>
        <w:t>Executive conclusion</w:t>
      </w:r>
    </w:p>
    <w:p>
      <w:pPr>
        <w:pStyle w:val="ListBullet"/>
        <w:spacing w:after="40"/>
      </w:pPr>
      <w:r>
        <w:t>Both databases have 132 rows, IDs 1–132, sequence value 132, and next generated ID 133.</w:t>
      </w:r>
    </w:p>
    <w:p>
      <w:pPr>
        <w:pStyle w:val="ListBullet"/>
        <w:spacing w:after="40"/>
      </w:pPr>
      <w:r>
        <w:t>Development ran the original migration 017 under the table name scheme_slab, then migration 019 renamed the table and preserved its old generated sequence and primary-key names.</w:t>
      </w:r>
    </w:p>
    <w:p>
      <w:pPr>
        <w:pStyle w:val="ListBullet"/>
        <w:spacing w:after="40"/>
      </w:pPr>
      <w:r>
        <w:t>Production ran the revised migration 017, which created scheme_reward_slab directly with the intended generated names.</w:t>
      </w:r>
    </w:p>
    <w:p>
      <w:pPr>
        <w:pStyle w:val="ListBullet"/>
        <w:spacing w:after="40"/>
      </w:pPr>
      <w:r>
        <w:t>No code, migration, function, or trigger explicitly references either generated sequence or primary-key name; only the serial column default binds to the sequence.</w:t>
      </w:r>
    </w:p>
    <w:p>
      <w:pPr>
        <w:pStyle w:val="ListBullet"/>
        <w:spacing w:after="40"/>
      </w:pPr>
      <w:r>
        <w:t>The correct eventual direction is to rename the development objects to production’s intended names, preserving sequence state. No alignment was performed.</w:t>
      </w:r>
    </w:p>
    <w:p>
      <w:pPr>
        <w:pStyle w:val="ListBullet"/>
        <w:spacing w:after="40"/>
      </w:pPr>
      <w:r>
        <w:t>This is the only logical-equivalent-but-differently-named sequence/constraint/index pair in the complete public-schema comparison.</w:t>
      </w:r>
    </w:p>
    <w:p>
      <w:pPr>
        <w:pStyle w:val="Heading1"/>
      </w:pPr>
      <w:r>
        <w:t>1. Row counts and sequence state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color w:val="17365D"/>
                <w:sz w:val="16"/>
              </w:rPr>
              <w:t>Measure</w:t>
            </w:r>
          </w:p>
        </w:tc>
        <w:tc>
          <w:tcPr>
            <w:tcW w:type="dxa" w:w="3389"/>
            <w:shd w:fill="D9EAF7"/>
          </w:tcPr>
          <w:p>
            <w:r>
              <w:rPr>
                <w:b/>
                <w:color w:val="17365D"/>
                <w:sz w:val="16"/>
              </w:rPr>
              <w:t>Production</w:t>
            </w:r>
          </w:p>
        </w:tc>
        <w:tc>
          <w:tcPr>
            <w:tcW w:type="dxa" w:w="3389"/>
            <w:shd w:fill="D9EAF7"/>
          </w:tcPr>
          <w:p>
            <w:r>
              <w:rPr>
                <w:b/>
                <w:color w:val="17365D"/>
                <w:sz w:val="16"/>
              </w:rPr>
              <w:t>Development</w:t>
            </w:r>
          </w:p>
        </w:tc>
      </w:tr>
      <w:tr>
        <w:tc>
          <w:tcPr>
            <w:tcW w:type="dxa" w:w="3389"/>
            <w:vAlign w:val="center"/>
          </w:tcPr>
          <w:p>
            <w:r>
              <w:rPr>
                <w:sz w:val="16"/>
              </w:rPr>
              <w:t>Rows</w:t>
            </w:r>
          </w:p>
        </w:tc>
        <w:tc>
          <w:tcPr>
            <w:tcW w:type="dxa" w:w="3389"/>
            <w:vAlign w:val="center"/>
          </w:tcPr>
          <w:p>
            <w:r>
              <w:rPr>
                <w:sz w:val="16"/>
              </w:rPr>
              <w:t>132</w:t>
            </w:r>
          </w:p>
        </w:tc>
        <w:tc>
          <w:tcPr>
            <w:tcW w:type="dxa" w:w="3389"/>
            <w:vAlign w:val="center"/>
          </w:tcPr>
          <w:p>
            <w:r>
              <w:rPr>
                <w:sz w:val="16"/>
              </w:rPr>
              <w:t>132</w:t>
            </w:r>
          </w:p>
        </w:tc>
      </w:tr>
      <w:tr>
        <w:tc>
          <w:tcPr>
            <w:tcW w:type="dxa" w:w="3389"/>
            <w:vAlign w:val="center"/>
          </w:tcPr>
          <w:p>
            <w:r>
              <w:rPr>
                <w:sz w:val="16"/>
              </w:rPr>
              <w:t>Minimum ID</w:t>
            </w:r>
          </w:p>
        </w:tc>
        <w:tc>
          <w:tcPr>
            <w:tcW w:type="dxa" w:w="3389"/>
            <w:vAlign w:val="center"/>
          </w:tcPr>
          <w:p>
            <w:r>
              <w:rPr>
                <w:sz w:val="16"/>
              </w:rPr>
              <w:t>1</w:t>
            </w:r>
          </w:p>
        </w:tc>
        <w:tc>
          <w:tcPr>
            <w:tcW w:type="dxa" w:w="3389"/>
            <w:vAlign w:val="center"/>
          </w:tcPr>
          <w:p>
            <w:r>
              <w:rPr>
                <w:sz w:val="16"/>
              </w:rPr>
              <w:t>1</w:t>
            </w:r>
          </w:p>
        </w:tc>
      </w:tr>
      <w:tr>
        <w:tc>
          <w:tcPr>
            <w:tcW w:type="dxa" w:w="3389"/>
            <w:vAlign w:val="center"/>
          </w:tcPr>
          <w:p>
            <w:r>
              <w:rPr>
                <w:sz w:val="16"/>
              </w:rPr>
              <w:t>Maximum ID</w:t>
            </w:r>
          </w:p>
        </w:tc>
        <w:tc>
          <w:tcPr>
            <w:tcW w:type="dxa" w:w="3389"/>
            <w:vAlign w:val="center"/>
          </w:tcPr>
          <w:p>
            <w:r>
              <w:rPr>
                <w:sz w:val="16"/>
              </w:rPr>
              <w:t>132</w:t>
            </w:r>
          </w:p>
        </w:tc>
        <w:tc>
          <w:tcPr>
            <w:tcW w:type="dxa" w:w="3389"/>
            <w:vAlign w:val="center"/>
          </w:tcPr>
          <w:p>
            <w:r>
              <w:rPr>
                <w:sz w:val="16"/>
              </w:rPr>
              <w:t>132</w:t>
            </w:r>
          </w:p>
        </w:tc>
      </w:tr>
      <w:tr>
        <w:tc>
          <w:tcPr>
            <w:tcW w:type="dxa" w:w="3389"/>
            <w:vAlign w:val="center"/>
          </w:tcPr>
          <w:p>
            <w:r>
              <w:rPr>
                <w:sz w:val="16"/>
              </w:rPr>
              <w:t>Sequence last_value</w:t>
            </w:r>
          </w:p>
        </w:tc>
        <w:tc>
          <w:tcPr>
            <w:tcW w:type="dxa" w:w="3389"/>
            <w:vAlign w:val="center"/>
          </w:tcPr>
          <w:p>
            <w:r>
              <w:rPr>
                <w:sz w:val="16"/>
              </w:rPr>
              <w:t>132</w:t>
            </w:r>
          </w:p>
        </w:tc>
        <w:tc>
          <w:tcPr>
            <w:tcW w:type="dxa" w:w="3389"/>
            <w:vAlign w:val="center"/>
          </w:tcPr>
          <w:p>
            <w:r>
              <w:rPr>
                <w:sz w:val="16"/>
              </w:rPr>
              <w:t>132</w:t>
            </w:r>
          </w:p>
        </w:tc>
      </w:tr>
      <w:tr>
        <w:tc>
          <w:tcPr>
            <w:tcW w:type="dxa" w:w="3389"/>
            <w:vAlign w:val="center"/>
          </w:tcPr>
          <w:p>
            <w:r>
              <w:rPr>
                <w:sz w:val="16"/>
              </w:rPr>
              <w:t>Sequence is_called</w:t>
            </w:r>
          </w:p>
        </w:tc>
        <w:tc>
          <w:tcPr>
            <w:tcW w:type="dxa" w:w="3389"/>
            <w:vAlign w:val="center"/>
          </w:tcPr>
          <w:p>
            <w:r>
              <w:rPr>
                <w:sz w:val="16"/>
              </w:rPr>
              <w:t>true</w:t>
            </w:r>
          </w:p>
        </w:tc>
        <w:tc>
          <w:tcPr>
            <w:tcW w:type="dxa" w:w="3389"/>
            <w:vAlign w:val="center"/>
          </w:tcPr>
          <w:p>
            <w:r>
              <w:rPr>
                <w:sz w:val="16"/>
              </w:rPr>
              <w:t>true</w:t>
            </w:r>
          </w:p>
        </w:tc>
      </w:tr>
      <w:tr>
        <w:tc>
          <w:tcPr>
            <w:tcW w:type="dxa" w:w="3389"/>
            <w:vAlign w:val="center"/>
          </w:tcPr>
          <w:p>
            <w:r>
              <w:rPr>
                <w:sz w:val="16"/>
              </w:rPr>
              <w:t>Next generated ID</w:t>
            </w:r>
          </w:p>
        </w:tc>
        <w:tc>
          <w:tcPr>
            <w:tcW w:type="dxa" w:w="3389"/>
            <w:vAlign w:val="center"/>
          </w:tcPr>
          <w:p>
            <w:r>
              <w:rPr>
                <w:sz w:val="16"/>
              </w:rPr>
              <w:t>133</w:t>
            </w:r>
          </w:p>
        </w:tc>
        <w:tc>
          <w:tcPr>
            <w:tcW w:type="dxa" w:w="3389"/>
            <w:vAlign w:val="center"/>
          </w:tcPr>
          <w:p>
            <w:r>
              <w:rPr>
                <w:sz w:val="16"/>
              </w:rPr>
              <w:t>133</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color w:val="17365D"/>
                <w:sz w:val="16"/>
              </w:rPr>
              <w:t>Sequence property</w:t>
            </w:r>
          </w:p>
        </w:tc>
        <w:tc>
          <w:tcPr>
            <w:tcW w:type="dxa" w:w="3389"/>
            <w:shd w:fill="D9EAF7"/>
          </w:tcPr>
          <w:p>
            <w:r>
              <w:rPr>
                <w:b/>
                <w:color w:val="17365D"/>
                <w:sz w:val="16"/>
              </w:rPr>
              <w:t>Production</w:t>
            </w:r>
          </w:p>
        </w:tc>
        <w:tc>
          <w:tcPr>
            <w:tcW w:type="dxa" w:w="3389"/>
            <w:shd w:fill="D9EAF7"/>
          </w:tcPr>
          <w:p>
            <w:r>
              <w:rPr>
                <w:b/>
                <w:color w:val="17365D"/>
                <w:sz w:val="16"/>
              </w:rPr>
              <w:t>Development</w:t>
            </w:r>
          </w:p>
        </w:tc>
      </w:tr>
      <w:tr>
        <w:tc>
          <w:tcPr>
            <w:tcW w:type="dxa" w:w="3389"/>
            <w:vAlign w:val="center"/>
          </w:tcPr>
          <w:p>
            <w:r>
              <w:rPr>
                <w:sz w:val="16"/>
              </w:rPr>
              <w:t>Name</w:t>
            </w:r>
          </w:p>
        </w:tc>
        <w:tc>
          <w:tcPr>
            <w:tcW w:type="dxa" w:w="3389"/>
            <w:vAlign w:val="center"/>
          </w:tcPr>
          <w:p>
            <w:r>
              <w:rPr>
                <w:sz w:val="16"/>
              </w:rPr>
              <w:t>scheme_reward_slab_id_seq</w:t>
            </w:r>
          </w:p>
        </w:tc>
        <w:tc>
          <w:tcPr>
            <w:tcW w:type="dxa" w:w="3389"/>
            <w:vAlign w:val="center"/>
          </w:tcPr>
          <w:p>
            <w:r>
              <w:rPr>
                <w:sz w:val="16"/>
              </w:rPr>
              <w:t>scheme_slab_id_seq</w:t>
            </w:r>
          </w:p>
        </w:tc>
      </w:tr>
      <w:tr>
        <w:tc>
          <w:tcPr>
            <w:tcW w:type="dxa" w:w="3389"/>
            <w:vAlign w:val="center"/>
          </w:tcPr>
          <w:p>
            <w:r>
              <w:rPr>
                <w:sz w:val="16"/>
              </w:rPr>
              <w:t>start_value</w:t>
            </w:r>
          </w:p>
        </w:tc>
        <w:tc>
          <w:tcPr>
            <w:tcW w:type="dxa" w:w="3389"/>
            <w:vAlign w:val="center"/>
          </w:tcPr>
          <w:p>
            <w:r>
              <w:rPr>
                <w:sz w:val="16"/>
              </w:rPr>
              <w:t>1</w:t>
            </w:r>
          </w:p>
        </w:tc>
        <w:tc>
          <w:tcPr>
            <w:tcW w:type="dxa" w:w="3389"/>
            <w:vAlign w:val="center"/>
          </w:tcPr>
          <w:p>
            <w:r>
              <w:rPr>
                <w:sz w:val="16"/>
              </w:rPr>
              <w:t>1</w:t>
            </w:r>
          </w:p>
        </w:tc>
      </w:tr>
      <w:tr>
        <w:tc>
          <w:tcPr>
            <w:tcW w:type="dxa" w:w="3389"/>
            <w:vAlign w:val="center"/>
          </w:tcPr>
          <w:p>
            <w:r>
              <w:rPr>
                <w:sz w:val="16"/>
              </w:rPr>
              <w:t>min_value</w:t>
            </w:r>
          </w:p>
        </w:tc>
        <w:tc>
          <w:tcPr>
            <w:tcW w:type="dxa" w:w="3389"/>
            <w:vAlign w:val="center"/>
          </w:tcPr>
          <w:p>
            <w:r>
              <w:rPr>
                <w:sz w:val="16"/>
              </w:rPr>
              <w:t>1</w:t>
            </w:r>
          </w:p>
        </w:tc>
        <w:tc>
          <w:tcPr>
            <w:tcW w:type="dxa" w:w="3389"/>
            <w:vAlign w:val="center"/>
          </w:tcPr>
          <w:p>
            <w:r>
              <w:rPr>
                <w:sz w:val="16"/>
              </w:rPr>
              <w:t>1</w:t>
            </w:r>
          </w:p>
        </w:tc>
      </w:tr>
      <w:tr>
        <w:tc>
          <w:tcPr>
            <w:tcW w:type="dxa" w:w="3389"/>
            <w:vAlign w:val="center"/>
          </w:tcPr>
          <w:p>
            <w:r>
              <w:rPr>
                <w:sz w:val="16"/>
              </w:rPr>
              <w:t>max_value</w:t>
            </w:r>
          </w:p>
        </w:tc>
        <w:tc>
          <w:tcPr>
            <w:tcW w:type="dxa" w:w="3389"/>
            <w:vAlign w:val="center"/>
          </w:tcPr>
          <w:p>
            <w:r>
              <w:rPr>
                <w:sz w:val="16"/>
              </w:rPr>
              <w:t>2147483647</w:t>
            </w:r>
          </w:p>
        </w:tc>
        <w:tc>
          <w:tcPr>
            <w:tcW w:type="dxa" w:w="3389"/>
            <w:vAlign w:val="center"/>
          </w:tcPr>
          <w:p>
            <w:r>
              <w:rPr>
                <w:sz w:val="16"/>
              </w:rPr>
              <w:t>2147483647</w:t>
            </w:r>
          </w:p>
        </w:tc>
      </w:tr>
      <w:tr>
        <w:tc>
          <w:tcPr>
            <w:tcW w:type="dxa" w:w="3389"/>
            <w:vAlign w:val="center"/>
          </w:tcPr>
          <w:p>
            <w:r>
              <w:rPr>
                <w:sz w:val="16"/>
              </w:rPr>
              <w:t>increment_by</w:t>
            </w:r>
          </w:p>
        </w:tc>
        <w:tc>
          <w:tcPr>
            <w:tcW w:type="dxa" w:w="3389"/>
            <w:vAlign w:val="center"/>
          </w:tcPr>
          <w:p>
            <w:r>
              <w:rPr>
                <w:sz w:val="16"/>
              </w:rPr>
              <w:t>1</w:t>
            </w:r>
          </w:p>
        </w:tc>
        <w:tc>
          <w:tcPr>
            <w:tcW w:type="dxa" w:w="3389"/>
            <w:vAlign w:val="center"/>
          </w:tcPr>
          <w:p>
            <w:r>
              <w:rPr>
                <w:sz w:val="16"/>
              </w:rPr>
              <w:t>1</w:t>
            </w:r>
          </w:p>
        </w:tc>
      </w:tr>
      <w:tr>
        <w:tc>
          <w:tcPr>
            <w:tcW w:type="dxa" w:w="3389"/>
            <w:vAlign w:val="center"/>
          </w:tcPr>
          <w:p>
            <w:r>
              <w:rPr>
                <w:sz w:val="16"/>
              </w:rPr>
              <w:t>cycle</w:t>
            </w:r>
          </w:p>
        </w:tc>
        <w:tc>
          <w:tcPr>
            <w:tcW w:type="dxa" w:w="3389"/>
            <w:vAlign w:val="center"/>
          </w:tcPr>
          <w:p>
            <w:r>
              <w:rPr>
                <w:sz w:val="16"/>
              </w:rPr>
              <w:t>false</w:t>
            </w:r>
          </w:p>
        </w:tc>
        <w:tc>
          <w:tcPr>
            <w:tcW w:type="dxa" w:w="3389"/>
            <w:vAlign w:val="center"/>
          </w:tcPr>
          <w:p>
            <w:r>
              <w:rPr>
                <w:sz w:val="16"/>
              </w:rPr>
              <w:t>false</w:t>
            </w:r>
          </w:p>
        </w:tc>
      </w:tr>
      <w:tr>
        <w:tc>
          <w:tcPr>
            <w:tcW w:type="dxa" w:w="3389"/>
            <w:vAlign w:val="center"/>
          </w:tcPr>
          <w:p>
            <w:r>
              <w:rPr>
                <w:sz w:val="16"/>
              </w:rPr>
              <w:t>cache_size</w:t>
            </w:r>
          </w:p>
        </w:tc>
        <w:tc>
          <w:tcPr>
            <w:tcW w:type="dxa" w:w="3389"/>
            <w:vAlign w:val="center"/>
          </w:tcPr>
          <w:p>
            <w:r>
              <w:rPr>
                <w:sz w:val="16"/>
              </w:rPr>
              <w:t>1</w:t>
            </w:r>
          </w:p>
        </w:tc>
        <w:tc>
          <w:tcPr>
            <w:tcW w:type="dxa" w:w="3389"/>
            <w:vAlign w:val="center"/>
          </w:tcPr>
          <w:p>
            <w:r>
              <w:rPr>
                <w:sz w:val="16"/>
              </w:rPr>
              <w:t>1</w:t>
            </w:r>
          </w:p>
        </w:tc>
      </w:tr>
    </w:tbl>
    <w:p>
      <w:pPr>
        <w:spacing w:after="20"/>
      </w:pPr>
    </w:p>
    <w:p>
      <w:r>
        <w:t>Production’s sequence is not ahead of development’s. There is no present risk of development issuing an already-used production ID based on sequence state. The sequence should not be replaced; a rename preserves the existing object and its value.</w:t>
      </w:r>
    </w:p>
    <w:p>
      <w:pPr>
        <w:pStyle w:val="Heading1"/>
      </w:pPr>
      <w:r>
        <w:t>2. Rename history and intended naming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color w:val="17365D"/>
                <w:sz w:val="16"/>
              </w:rPr>
              <w:t>Database</w:t>
            </w:r>
          </w:p>
        </w:tc>
        <w:tc>
          <w:tcPr>
            <w:tcW w:type="dxa" w:w="2541"/>
            <w:shd w:fill="D9EAF7"/>
          </w:tcPr>
          <w:p>
            <w:r>
              <w:rPr>
                <w:b/>
                <w:color w:val="17365D"/>
                <w:sz w:val="16"/>
              </w:rPr>
              <w:t>Migration</w:t>
            </w:r>
          </w:p>
        </w:tc>
        <w:tc>
          <w:tcPr>
            <w:tcW w:type="dxa" w:w="2541"/>
            <w:shd w:fill="D9EAF7"/>
          </w:tcPr>
          <w:p>
            <w:r>
              <w:rPr>
                <w:b/>
                <w:color w:val="17365D"/>
                <w:sz w:val="16"/>
              </w:rPr>
              <w:t>Applied at (UTC)</w:t>
            </w:r>
          </w:p>
        </w:tc>
        <w:tc>
          <w:tcPr>
            <w:tcW w:type="dxa" w:w="2541"/>
            <w:shd w:fill="D9EAF7"/>
          </w:tcPr>
          <w:p>
            <w:r>
              <w:rPr>
                <w:b/>
                <w:color w:val="17365D"/>
                <w:sz w:val="16"/>
              </w:rPr>
              <w:t>Effect</w:t>
            </w:r>
          </w:p>
        </w:tc>
      </w:tr>
      <w:tr>
        <w:tc>
          <w:tcPr>
            <w:tcW w:type="dxa" w:w="2541"/>
            <w:vAlign w:val="center"/>
          </w:tcPr>
          <w:p>
            <w:r>
              <w:rPr>
                <w:sz w:val="16"/>
              </w:rPr>
              <w:t>Development</w:t>
            </w:r>
          </w:p>
        </w:tc>
        <w:tc>
          <w:tcPr>
            <w:tcW w:type="dxa" w:w="2541"/>
            <w:vAlign w:val="center"/>
          </w:tcPr>
          <w:p>
            <w:r>
              <w:rPr>
                <w:sz w:val="16"/>
              </w:rPr>
              <w:t>017_scheme_schema_rebuild</w:t>
            </w:r>
          </w:p>
        </w:tc>
        <w:tc>
          <w:tcPr>
            <w:tcW w:type="dxa" w:w="2541"/>
            <w:vAlign w:val="center"/>
          </w:tcPr>
          <w:p>
            <w:r>
              <w:rPr>
                <w:sz w:val="16"/>
              </w:rPr>
              <w:t>2026-08-11 13:43:54.744</w:t>
            </w:r>
          </w:p>
        </w:tc>
        <w:tc>
          <w:tcPr>
            <w:tcW w:type="dxa" w:w="2541"/>
            <w:vAlign w:val="center"/>
          </w:tcPr>
          <w:p>
            <w:r>
              <w:rPr>
                <w:sz w:val="16"/>
              </w:rPr>
              <w:t>Created new-shape scheme_slab</w:t>
            </w:r>
          </w:p>
        </w:tc>
      </w:tr>
      <w:tr>
        <w:tc>
          <w:tcPr>
            <w:tcW w:type="dxa" w:w="2541"/>
            <w:vAlign w:val="center"/>
          </w:tcPr>
          <w:p>
            <w:r>
              <w:rPr>
                <w:sz w:val="16"/>
              </w:rPr>
              <w:t>Development</w:t>
            </w:r>
          </w:p>
        </w:tc>
        <w:tc>
          <w:tcPr>
            <w:tcW w:type="dxa" w:w="2541"/>
            <w:vAlign w:val="center"/>
          </w:tcPr>
          <w:p>
            <w:r>
              <w:rPr>
                <w:sz w:val="16"/>
              </w:rPr>
              <w:t>019_rename_scheme_slab_to_reward_slab</w:t>
            </w:r>
          </w:p>
        </w:tc>
        <w:tc>
          <w:tcPr>
            <w:tcW w:type="dxa" w:w="2541"/>
            <w:vAlign w:val="center"/>
          </w:tcPr>
          <w:p>
            <w:r>
              <w:rPr>
                <w:sz w:val="16"/>
              </w:rPr>
              <w:t>2026-08-12 07:01:11.273</w:t>
            </w:r>
          </w:p>
        </w:tc>
        <w:tc>
          <w:tcPr>
            <w:tcW w:type="dxa" w:w="2541"/>
            <w:vAlign w:val="center"/>
          </w:tcPr>
          <w:p>
            <w:r>
              <w:rPr>
                <w:sz w:val="16"/>
              </w:rPr>
              <w:t>Renamed table; preserved generated names</w:t>
            </w:r>
          </w:p>
        </w:tc>
      </w:tr>
      <w:tr>
        <w:tc>
          <w:tcPr>
            <w:tcW w:type="dxa" w:w="2541"/>
            <w:vAlign w:val="center"/>
          </w:tcPr>
          <w:p>
            <w:r>
              <w:rPr>
                <w:sz w:val="16"/>
              </w:rPr>
              <w:t>Production</w:t>
            </w:r>
          </w:p>
        </w:tc>
        <w:tc>
          <w:tcPr>
            <w:tcW w:type="dxa" w:w="2541"/>
            <w:vAlign w:val="center"/>
          </w:tcPr>
          <w:p>
            <w:r>
              <w:rPr>
                <w:sz w:val="16"/>
              </w:rPr>
              <w:t>017_scheme_schema_rebuild</w:t>
            </w:r>
          </w:p>
        </w:tc>
        <w:tc>
          <w:tcPr>
            <w:tcW w:type="dxa" w:w="2541"/>
            <w:vAlign w:val="center"/>
          </w:tcPr>
          <w:p>
            <w:r>
              <w:rPr>
                <w:sz w:val="16"/>
              </w:rPr>
              <w:t>2026-08-12 07:15:33.797</w:t>
            </w:r>
          </w:p>
        </w:tc>
        <w:tc>
          <w:tcPr>
            <w:tcW w:type="dxa" w:w="2541"/>
            <w:vAlign w:val="center"/>
          </w:tcPr>
          <w:p>
            <w:r>
              <w:rPr>
                <w:sz w:val="16"/>
              </w:rPr>
              <w:t>Created scheme_reward_slab directly</w:t>
            </w:r>
          </w:p>
        </w:tc>
      </w:tr>
      <w:tr>
        <w:tc>
          <w:tcPr>
            <w:tcW w:type="dxa" w:w="2541"/>
            <w:vAlign w:val="center"/>
          </w:tcPr>
          <w:p>
            <w:r>
              <w:rPr>
                <w:sz w:val="16"/>
              </w:rPr>
              <w:t>Production</w:t>
            </w:r>
          </w:p>
        </w:tc>
        <w:tc>
          <w:tcPr>
            <w:tcW w:type="dxa" w:w="2541"/>
            <w:vAlign w:val="center"/>
          </w:tcPr>
          <w:p>
            <w:r>
              <w:rPr>
                <w:sz w:val="16"/>
              </w:rPr>
              <w:t>019_rename_scheme_slab_to_reward_slab</w:t>
            </w:r>
          </w:p>
        </w:tc>
        <w:tc>
          <w:tcPr>
            <w:tcW w:type="dxa" w:w="2541"/>
            <w:vAlign w:val="center"/>
          </w:tcPr>
          <w:p>
            <w:r>
              <w:rPr>
                <w:sz w:val="16"/>
              </w:rPr>
              <w:t>2026-08-12 07:15:33.829</w:t>
            </w:r>
          </w:p>
        </w:tc>
        <w:tc>
          <w:tcPr>
            <w:tcW w:type="dxa" w:w="2541"/>
            <w:vAlign w:val="center"/>
          </w:tcPr>
          <w:p>
            <w:r>
              <w:rPr>
                <w:sz w:val="16"/>
              </w:rPr>
              <w:t>No-op because final table already existed</w:t>
            </w:r>
          </w:p>
        </w:tc>
      </w:tr>
    </w:tbl>
    <w:p>
      <w:pPr>
        <w:spacing w:after="20"/>
      </w:pPr>
    </w:p>
    <w:p>
      <w:r>
        <w:t>The repository revision that changed 017 to create scheme_reward_slab directly was committed at 2026-08-12 07:08:44 UTC—after development’s rename migration but before production ran 017.</w:t>
      </w:r>
    </w:p>
    <w:p>
      <w:pPr>
        <w:pStyle w:val="Heading2"/>
      </w:pPr>
      <w:r>
        <w:t>Original migration 017 definition</w:t>
      </w:r>
    </w:p>
    <w:p>
      <w:pPr>
        <w:spacing w:after="100"/>
        <w:ind w:left="346"/>
      </w:pPr>
      <w:r>
        <w:rPr>
          <w:rFonts w:ascii="Consolas" w:hAnsi="Consolas"/>
          <w:sz w:val="16"/>
        </w:rPr>
        <w:t>CREATE TABLE IF NOT EXISTS scheme_slab (</w:t>
        <w:br/>
        <w:t xml:space="preserve">  id              SERIAL      PRIMARY KEY,</w:t>
        <w:br/>
        <w:t xml:space="preserve">  scheme_id       TEXT        NOT NULL</w:t>
        <w:br/>
        <w:t xml:space="preserve">                                  REFERENCES scheme (scheme_id)</w:t>
        <w:br/>
        <w:t xml:space="preserve">                                  ON DELETE CASCADE,</w:t>
        <w:br/>
        <w:t xml:space="preserve">  slab_order      INTEGER     NOT NULL,</w:t>
        <w:br/>
        <w:t xml:space="preserve">  threshold_from  NUMERIC     NOT NULL,</w:t>
        <w:br/>
        <w:t xml:space="preserve">  threshold_to    NUMERIC,</w:t>
        <w:br/>
        <w:t xml:space="preserve">  unit            TEXT        NOT NULL,</w:t>
        <w:br/>
        <w:t xml:space="preserve">  rate            NUMERIC,</w:t>
        <w:br/>
        <w:t xml:space="preserve">  alt_reward      TEXT,</w:t>
        <w:br/>
        <w:t xml:space="preserve">  free_goods      TEXT,</w:t>
        <w:br/>
        <w:t xml:space="preserve">  reward_status   TEXT        NOT NULL DEFAULT 'ok',</w:t>
        <w:br/>
        <w:t xml:space="preserve">  raw_text        TEXT</w:t>
        <w:br/>
        <w:t>);</w:t>
      </w:r>
    </w:p>
    <w:p>
      <w:r>
        <w:t>This generated scheme_slab_id_seq and scheme_slab_pkey.</w:t>
      </w:r>
    </w:p>
    <w:p>
      <w:pPr>
        <w:pStyle w:val="Heading2"/>
      </w:pPr>
      <w:r>
        <w:t>Migration 019 in full</w:t>
      </w:r>
    </w:p>
    <w:p>
      <w:pPr>
        <w:spacing w:after="100"/>
        <w:ind w:left="346"/>
      </w:pPr>
      <w:r>
        <w:rPr>
          <w:rFonts w:ascii="Consolas" w:hAnsi="Consolas"/>
          <w:sz w:val="16"/>
        </w:rPr>
        <w:t>{</w:t>
        <w:br/>
        <w:t xml:space="preserve">  id: "019_rename_scheme_slab_to_reward_slab",</w:t>
        <w:br/>
        <w:t xml:space="preserve">  sql: `</w:t>
        <w:br/>
        <w:t xml:space="preserve">    -- Dev DBs that ran the original 017 have the NEW-shape table under the</w:t>
        <w:br/>
        <w:t xml:space="preserve">    -- legacy name scheme_slab. Rename it (preserving seeded slab data) so</w:t>
        <w:br/>
        <w:t xml:space="preserve">    -- dev and prod converge on scheme_reward_slab. Idempotent: no-op when</w:t>
        <w:br/>
        <w:t xml:space="preserve">    -- the rename already happened or 017 created the new name directly.</w:t>
        <w:br/>
        <w:t xml:space="preserve">    DO $do$</w:t>
        <w:br/>
        <w:t xml:space="preserve">    BEGIN</w:t>
        <w:br/>
        <w:t xml:space="preserve">      IF EXISTS (</w:t>
        <w:br/>
        <w:t xml:space="preserve">        SELECT 1 FROM information_schema.tables</w:t>
        <w:br/>
        <w:t xml:space="preserve">        WHERE table_schema = 'public' AND table_name = 'scheme_slab'</w:t>
        <w:br/>
        <w:t xml:space="preserve">      )</w:t>
        <w:br/>
        <w:t xml:space="preserve">      AND NOT EXISTS (</w:t>
        <w:br/>
        <w:t xml:space="preserve">        SELECT 1 FROM information_schema.tables</w:t>
        <w:br/>
        <w:t xml:space="preserve">        WHERE table_schema = 'public' AND table_name = 'scheme_reward_slab'</w:t>
        <w:br/>
        <w:t xml:space="preserve">      ) THEN</w:t>
        <w:br/>
        <w:t xml:space="preserve">        ALTER TABLE scheme_slab RENAME TO scheme_reward_slab;</w:t>
        <w:br/>
        <w:t xml:space="preserve">        ALTER INDEX IF EXISTS scheme_slab_scheme_order_idx</w:t>
        <w:br/>
        <w:t xml:space="preserve">          RENAME TO scheme_reward_slab_scheme_order_idx;</w:t>
        <w:br/>
        <w:t xml:space="preserve">      END IF;</w:t>
        <w:br/>
        <w:t xml:space="preserve">    END</w:t>
        <w:br/>
        <w:t xml:space="preserve">    $do$;</w:t>
        <w:br/>
        <w:t xml:space="preserve">  `,</w:t>
        <w:br/>
        <w:t>}</w:t>
      </w:r>
    </w:p>
    <w:p>
      <w:r>
        <w:t>Migration 019 renamed the table and explicit business index, but not the generated serial sequence or generated primary-key constraint/index. PostgreSQL preserves those generated names when a table is renamed.</w:t>
      </w:r>
    </w:p>
    <w:p>
      <w:pPr>
        <w:pStyle w:val="Heading2"/>
      </w:pPr>
      <w:r>
        <w:t>Revised intended migration 017 definition</w:t>
      </w:r>
    </w:p>
    <w:p>
      <w:pPr>
        <w:spacing w:after="100"/>
        <w:ind w:left="346"/>
      </w:pPr>
      <w:r>
        <w:rPr>
          <w:rFonts w:ascii="Consolas" w:hAnsi="Consolas"/>
          <w:sz w:val="16"/>
        </w:rPr>
        <w:t>CREATE TABLE IF NOT EXISTS scheme_reward_slab (</w:t>
        <w:br/>
        <w:t xml:space="preserve">  id              SERIAL      PRIMARY KEY,</w:t>
        <w:br/>
        <w:t xml:space="preserve">  scheme_id       TEXT        NOT NULL</w:t>
        <w:br/>
        <w:t xml:space="preserve">                                  REFERENCES scheme (scheme_id)</w:t>
        <w:br/>
        <w:t xml:space="preserve">                                  ON DELETE CASCADE,</w:t>
        <w:br/>
        <w:t xml:space="preserve">  slab_order      INTEGER     NOT NULL,</w:t>
        <w:br/>
        <w:t xml:space="preserve">  threshold_from  NUMERIC     NOT NULL,</w:t>
        <w:br/>
        <w:t xml:space="preserve">  threshold_to    NUMERIC,</w:t>
        <w:br/>
        <w:t xml:space="preserve">  unit            TEXT        NOT NULL,</w:t>
        <w:br/>
        <w:t xml:space="preserve">  rate            NUMERIC,</w:t>
        <w:br/>
        <w:t xml:space="preserve">  alt_reward      TEXT,</w:t>
        <w:br/>
        <w:t xml:space="preserve">  free_goods      TEXT,</w:t>
        <w:br/>
        <w:t xml:space="preserve">  reward_status   TEXT        NOT NULL DEFAULT 'ok',</w:t>
        <w:br/>
        <w:t xml:space="preserve">  raw_text        TEXT</w:t>
        <w:br/>
        <w:t>);</w:t>
        <w:br/>
        <w:t>CREATE INDEX IF NOT EXISTS scheme_reward_slab_scheme_order_idx</w:t>
        <w:br/>
        <w:t xml:space="preserve">  ON scheme_reward_slab (scheme_id, slab_order);</w:t>
      </w:r>
    </w:p>
    <w:p>
      <w:r>
        <w:t>The current Drizzle declaration also uses pgTable("scheme_reward_slab", ...). The intended names are scheme_reward_slab, scheme_reward_slab_id_seq, scheme_reward_slab_pkey, and scheme_reward_slab_scheme_order_idx.</w:t>
      </w:r>
    </w:p>
    <w:p>
      <w:pPr>
        <w:pStyle w:val="Heading1"/>
      </w:pPr>
      <w:r>
        <w:t>3. Explicit-reference audit</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color w:val="17365D"/>
                <w:sz w:val="16"/>
              </w:rPr>
              <w:t>Reference surface</w:t>
            </w:r>
          </w:p>
        </w:tc>
        <w:tc>
          <w:tcPr>
            <w:tcW w:type="dxa" w:w="5083"/>
            <w:shd w:fill="D9EAF7"/>
          </w:tcPr>
          <w:p>
            <w:r>
              <w:rPr>
                <w:b/>
                <w:color w:val="17365D"/>
                <w:sz w:val="16"/>
              </w:rPr>
              <w:t>Result</w:t>
            </w:r>
          </w:p>
        </w:tc>
      </w:tr>
      <w:tr>
        <w:tc>
          <w:tcPr>
            <w:tcW w:type="dxa" w:w="5083"/>
            <w:vAlign w:val="center"/>
          </w:tcPr>
          <w:p>
            <w:r>
              <w:rPr>
                <w:sz w:val="16"/>
              </w:rPr>
              <w:t>Application code</w:t>
            </w:r>
          </w:p>
        </w:tc>
        <w:tc>
          <w:tcPr>
            <w:tcW w:type="dxa" w:w="5083"/>
            <w:vAlign w:val="center"/>
          </w:tcPr>
          <w:p>
            <w:r>
              <w:rPr>
                <w:sz w:val="16"/>
              </w:rPr>
              <w:t>No exact references to either generated sequence or PK name</w:t>
            </w:r>
          </w:p>
        </w:tc>
      </w:tr>
      <w:tr>
        <w:tc>
          <w:tcPr>
            <w:tcW w:type="dxa" w:w="5083"/>
            <w:vAlign w:val="center"/>
          </w:tcPr>
          <w:p>
            <w:r>
              <w:rPr>
                <w:sz w:val="16"/>
              </w:rPr>
              <w:t>Migration code</w:t>
            </w:r>
          </w:p>
        </w:tc>
        <w:tc>
          <w:tcPr>
            <w:tcW w:type="dxa" w:w="5083"/>
            <w:vAlign w:val="center"/>
          </w:tcPr>
          <w:p>
            <w:r>
              <w:rPr>
                <w:sz w:val="16"/>
              </w:rPr>
              <w:t>No exact references to either generated sequence or PK name</w:t>
            </w:r>
          </w:p>
        </w:tc>
      </w:tr>
      <w:tr>
        <w:tc>
          <w:tcPr>
            <w:tcW w:type="dxa" w:w="5083"/>
            <w:vAlign w:val="center"/>
          </w:tcPr>
          <w:p>
            <w:r>
              <w:rPr>
                <w:sz w:val="16"/>
              </w:rPr>
              <w:t>Production functions/triggers</w:t>
            </w:r>
          </w:p>
        </w:tc>
        <w:tc>
          <w:tcPr>
            <w:tcW w:type="dxa" w:w="5083"/>
            <w:vAlign w:val="center"/>
          </w:tcPr>
          <w:p>
            <w:r>
              <w:rPr>
                <w:sz w:val="16"/>
              </w:rPr>
              <w:t>None</w:t>
            </w:r>
          </w:p>
        </w:tc>
      </w:tr>
      <w:tr>
        <w:tc>
          <w:tcPr>
            <w:tcW w:type="dxa" w:w="5083"/>
            <w:vAlign w:val="center"/>
          </w:tcPr>
          <w:p>
            <w:r>
              <w:rPr>
                <w:sz w:val="16"/>
              </w:rPr>
              <w:t>Development functions/triggers</w:t>
            </w:r>
          </w:p>
        </w:tc>
        <w:tc>
          <w:tcPr>
            <w:tcW w:type="dxa" w:w="5083"/>
            <w:vAlign w:val="center"/>
          </w:tcPr>
          <w:p>
            <w:r>
              <w:rPr>
                <w:sz w:val="16"/>
              </w:rPr>
              <w:t>None</w:t>
            </w:r>
          </w:p>
        </w:tc>
      </w:tr>
      <w:tr>
        <w:tc>
          <w:tcPr>
            <w:tcW w:type="dxa" w:w="5083"/>
            <w:vAlign w:val="center"/>
          </w:tcPr>
          <w:p>
            <w:r>
              <w:rPr>
                <w:sz w:val="16"/>
              </w:rPr>
              <w:t>Production serial default</w:t>
            </w:r>
          </w:p>
        </w:tc>
        <w:tc>
          <w:tcPr>
            <w:tcW w:type="dxa" w:w="5083"/>
            <w:vAlign w:val="center"/>
          </w:tcPr>
          <w:p>
            <w:r>
              <w:rPr>
                <w:sz w:val="16"/>
              </w:rPr>
              <w:t>nextval('scheme_reward_slab_id_seq'::regclass)</w:t>
            </w:r>
          </w:p>
        </w:tc>
      </w:tr>
      <w:tr>
        <w:tc>
          <w:tcPr>
            <w:tcW w:type="dxa" w:w="5083"/>
            <w:vAlign w:val="center"/>
          </w:tcPr>
          <w:p>
            <w:r>
              <w:rPr>
                <w:sz w:val="16"/>
              </w:rPr>
              <w:t>Development serial default</w:t>
            </w:r>
          </w:p>
        </w:tc>
        <w:tc>
          <w:tcPr>
            <w:tcW w:type="dxa" w:w="5083"/>
            <w:vAlign w:val="center"/>
          </w:tcPr>
          <w:p>
            <w:r>
              <w:rPr>
                <w:sz w:val="16"/>
              </w:rPr>
              <w:t>nextval('scheme_slab_id_seq'::regclass)</w:t>
            </w:r>
          </w:p>
        </w:tc>
      </w:tr>
    </w:tbl>
    <w:p>
      <w:pPr>
        <w:spacing w:after="20"/>
      </w:pPr>
    </w:p>
    <w:p>
      <w:r>
        <w:t>The serial default is the only active reference. PostgreSQL stores this as a regclass dependency on the sequence object. Renaming the sequence preserves its ownership, value, and dependency and causes the displayed default to resolve to the new name. Dropping and recreating the sequence would be unnecessarily risky.</w:t>
      </w:r>
    </w:p>
    <w:p>
      <w:pPr>
        <w:pStyle w:val="Heading1"/>
      </w:pPr>
      <w:r>
        <w:t>4. Correct alignment direction</w:t>
      </w:r>
    </w:p>
    <w:p>
      <w:pPr>
        <w:spacing w:after="100"/>
        <w:ind w:left="346"/>
      </w:pPr>
      <w:r>
        <w:rPr>
          <w:rFonts w:ascii="Consolas" w:hAnsi="Consolas"/>
          <w:sz w:val="16"/>
        </w:rPr>
        <w:t>Development sequence: scheme_slab_id_seq → scheme_reward_slab_id_seq</w:t>
        <w:br/>
        <w:t>Development PK:       scheme_slab_pkey   → scheme_reward_slab_pkey</w:t>
      </w:r>
    </w:p>
    <w:p>
      <w:pPr>
        <w:pStyle w:val="ListBullet"/>
        <w:spacing w:after="40"/>
      </w:pPr>
      <w:r>
        <w:t>Production is authoritative for the 132 rows and current IDs.</w:t>
      </w:r>
    </w:p>
    <w:p>
      <w:pPr>
        <w:pStyle w:val="ListBullet"/>
        <w:spacing w:after="40"/>
      </w:pPr>
      <w:r>
        <w:t>Development is authoritative for what Publish will impose.</w:t>
      </w:r>
    </w:p>
    <w:p>
      <w:pPr>
        <w:pStyle w:val="ListBullet"/>
        <w:spacing w:after="40"/>
      </w:pPr>
      <w:r>
        <w:t>The current migration and schema declaration intend scheme_reward_slab_*.</w:t>
      </w:r>
    </w:p>
    <w:p>
      <w:pPr>
        <w:pStyle w:val="ListBullet"/>
        <w:spacing w:after="40"/>
      </w:pPr>
      <w:r>
        <w:t>Production already has the intended names.</w:t>
      </w:r>
    </w:p>
    <w:p>
      <w:pPr>
        <w:pStyle w:val="ListBullet"/>
        <w:spacing w:after="40"/>
      </w:pPr>
      <w:r>
        <w:t>Renaming development to match production makes reconciliation a no-op for these objects.</w:t>
      </w:r>
    </w:p>
    <w:p>
      <w:pPr>
        <w:pStyle w:val="ListBullet"/>
        <w:spacing w:after="40"/>
      </w:pPr>
      <w:r>
        <w:t>Renaming production to the historical development names would preserve an accidental migration artifact.</w:t>
      </w:r>
    </w:p>
    <w:p>
      <w:pPr>
        <w:pStyle w:val="ListBullet"/>
        <w:spacing w:after="40"/>
      </w:pPr>
      <w:r>
        <w:t>No replacement is needed because both sequences are at 132 and will next issue 133.</w:t>
      </w:r>
    </w:p>
    <w:p>
      <w:r>
        <w:rPr>
          <w:b/>
        </w:rPr>
        <w:t>Confirmed direction: development should eventually be renamed to match production. No rename was performed.</w:t>
      </w:r>
    </w:p>
    <w:p>
      <w:pPr>
        <w:pStyle w:val="Heading1"/>
      </w:pPr>
      <w:r>
        <w:t>5. Exhaustive all-table comparison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color w:val="17365D"/>
                <w:sz w:val="16"/>
              </w:rPr>
              <w:t>Catalog category</w:t>
            </w:r>
          </w:p>
        </w:tc>
        <w:tc>
          <w:tcPr>
            <w:tcW w:type="dxa" w:w="2541"/>
            <w:shd w:fill="D9EAF7"/>
          </w:tcPr>
          <w:p>
            <w:r>
              <w:rPr>
                <w:b/>
                <w:color w:val="17365D"/>
                <w:sz w:val="16"/>
              </w:rPr>
              <w:t>Production</w:t>
            </w:r>
          </w:p>
        </w:tc>
        <w:tc>
          <w:tcPr>
            <w:tcW w:type="dxa" w:w="2541"/>
            <w:shd w:fill="D9EAF7"/>
          </w:tcPr>
          <w:p>
            <w:r>
              <w:rPr>
                <w:b/>
                <w:color w:val="17365D"/>
                <w:sz w:val="16"/>
              </w:rPr>
              <w:t>Development</w:t>
            </w:r>
          </w:p>
        </w:tc>
        <w:tc>
          <w:tcPr>
            <w:tcW w:type="dxa" w:w="2541"/>
            <w:shd w:fill="D9EAF7"/>
          </w:tcPr>
          <w:p>
            <w:r>
              <w:rPr>
                <w:b/>
                <w:color w:val="17365D"/>
                <w:sz w:val="16"/>
              </w:rPr>
              <w:t>Coverage</w:t>
            </w:r>
          </w:p>
        </w:tc>
      </w:tr>
      <w:tr>
        <w:tc>
          <w:tcPr>
            <w:tcW w:type="dxa" w:w="2541"/>
            <w:vAlign w:val="center"/>
          </w:tcPr>
          <w:p>
            <w:r>
              <w:rPr>
                <w:sz w:val="16"/>
              </w:rPr>
              <w:t>Column defaults</w:t>
            </w:r>
          </w:p>
        </w:tc>
        <w:tc>
          <w:tcPr>
            <w:tcW w:type="dxa" w:w="2541"/>
            <w:vAlign w:val="center"/>
          </w:tcPr>
          <w:p>
            <w:r>
              <w:rPr>
                <w:sz w:val="16"/>
              </w:rPr>
              <w:t>255</w:t>
            </w:r>
          </w:p>
        </w:tc>
        <w:tc>
          <w:tcPr>
            <w:tcW w:type="dxa" w:w="2541"/>
            <w:vAlign w:val="center"/>
          </w:tcPr>
          <w:p>
            <w:r>
              <w:rPr>
                <w:sz w:val="16"/>
              </w:rPr>
              <w:t>255</w:t>
            </w:r>
          </w:p>
        </w:tc>
        <w:tc>
          <w:tcPr>
            <w:tcW w:type="dxa" w:w="2541"/>
            <w:vAlign w:val="center"/>
          </w:tcPr>
          <w:p>
            <w:r>
              <w:rPr>
                <w:sz w:val="16"/>
              </w:rPr>
              <w:t>Every public table</w:t>
            </w:r>
          </w:p>
        </w:tc>
      </w:tr>
      <w:tr>
        <w:tc>
          <w:tcPr>
            <w:tcW w:type="dxa" w:w="2541"/>
            <w:vAlign w:val="center"/>
          </w:tcPr>
          <w:p>
            <w:r>
              <w:rPr>
                <w:sz w:val="16"/>
              </w:rPr>
              <w:t>Constraints</w:t>
            </w:r>
          </w:p>
        </w:tc>
        <w:tc>
          <w:tcPr>
            <w:tcW w:type="dxa" w:w="2541"/>
            <w:vAlign w:val="center"/>
          </w:tcPr>
          <w:p>
            <w:r>
              <w:rPr>
                <w:sz w:val="16"/>
              </w:rPr>
              <w:t>225</w:t>
            </w:r>
          </w:p>
        </w:tc>
        <w:tc>
          <w:tcPr>
            <w:tcW w:type="dxa" w:w="2541"/>
            <w:vAlign w:val="center"/>
          </w:tcPr>
          <w:p>
            <w:r>
              <w:rPr>
                <w:sz w:val="16"/>
              </w:rPr>
              <w:t>225</w:t>
            </w:r>
          </w:p>
        </w:tc>
        <w:tc>
          <w:tcPr>
            <w:tcW w:type="dxa" w:w="2541"/>
            <w:vAlign w:val="center"/>
          </w:tcPr>
          <w:p>
            <w:r>
              <w:rPr>
                <w:sz w:val="16"/>
              </w:rPr>
              <w:t>Names + normalized definitions</w:t>
            </w:r>
          </w:p>
        </w:tc>
      </w:tr>
      <w:tr>
        <w:tc>
          <w:tcPr>
            <w:tcW w:type="dxa" w:w="2541"/>
            <w:vAlign w:val="center"/>
          </w:tcPr>
          <w:p>
            <w:r>
              <w:rPr>
                <w:sz w:val="16"/>
              </w:rPr>
              <w:t>Indexes</w:t>
            </w:r>
          </w:p>
        </w:tc>
        <w:tc>
          <w:tcPr>
            <w:tcW w:type="dxa" w:w="2541"/>
            <w:vAlign w:val="center"/>
          </w:tcPr>
          <w:p>
            <w:r>
              <w:rPr>
                <w:sz w:val="16"/>
              </w:rPr>
              <w:t>277</w:t>
            </w:r>
          </w:p>
        </w:tc>
        <w:tc>
          <w:tcPr>
            <w:tcW w:type="dxa" w:w="2541"/>
            <w:vAlign w:val="center"/>
          </w:tcPr>
          <w:p>
            <w:r>
              <w:rPr>
                <w:sz w:val="16"/>
              </w:rPr>
              <w:t>277</w:t>
            </w:r>
          </w:p>
        </w:tc>
        <w:tc>
          <w:tcPr>
            <w:tcW w:type="dxa" w:w="2541"/>
            <w:vAlign w:val="center"/>
          </w:tcPr>
          <w:p>
            <w:r>
              <w:rPr>
                <w:sz w:val="16"/>
              </w:rPr>
              <w:t>Names + normalized definitions</w:t>
            </w:r>
          </w:p>
        </w:tc>
      </w:tr>
      <w:tr>
        <w:tc>
          <w:tcPr>
            <w:tcW w:type="dxa" w:w="2541"/>
            <w:vAlign w:val="center"/>
          </w:tcPr>
          <w:p>
            <w:r>
              <w:rPr>
                <w:sz w:val="16"/>
              </w:rPr>
              <w:t>Sequence dependencies</w:t>
            </w:r>
          </w:p>
        </w:tc>
        <w:tc>
          <w:tcPr>
            <w:tcW w:type="dxa" w:w="2541"/>
            <w:vAlign w:val="center"/>
          </w:tcPr>
          <w:p>
            <w:r>
              <w:rPr>
                <w:sz w:val="16"/>
              </w:rPr>
              <w:t>66</w:t>
            </w:r>
          </w:p>
        </w:tc>
        <w:tc>
          <w:tcPr>
            <w:tcW w:type="dxa" w:w="2541"/>
            <w:vAlign w:val="center"/>
          </w:tcPr>
          <w:p>
            <w:r>
              <w:rPr>
                <w:sz w:val="16"/>
              </w:rPr>
              <w:t>66</w:t>
            </w:r>
          </w:p>
        </w:tc>
        <w:tc>
          <w:tcPr>
            <w:tcW w:type="dxa" w:w="2541"/>
            <w:vAlign w:val="center"/>
          </w:tcPr>
          <w:p>
            <w:r>
              <w:rPr>
                <w:sz w:val="16"/>
              </w:rPr>
              <w:t>Owner table + column</w:t>
            </w:r>
          </w:p>
        </w:tc>
      </w:tr>
      <w:tr>
        <w:tc>
          <w:tcPr>
            <w:tcW w:type="dxa" w:w="2541"/>
            <w:vAlign w:val="center"/>
          </w:tcPr>
          <w:p>
            <w:r>
              <w:rPr>
                <w:sz w:val="16"/>
              </w:rPr>
              <w:t>Sequences</w:t>
            </w:r>
          </w:p>
        </w:tc>
        <w:tc>
          <w:tcPr>
            <w:tcW w:type="dxa" w:w="2541"/>
            <w:vAlign w:val="center"/>
          </w:tcPr>
          <w:p>
            <w:r>
              <w:rPr>
                <w:sz w:val="16"/>
              </w:rPr>
              <w:t>66</w:t>
            </w:r>
          </w:p>
        </w:tc>
        <w:tc>
          <w:tcPr>
            <w:tcW w:type="dxa" w:w="2541"/>
            <w:vAlign w:val="center"/>
          </w:tcPr>
          <w:p>
            <w:r>
              <w:rPr>
                <w:sz w:val="16"/>
              </w:rPr>
              <w:t>66</w:t>
            </w:r>
          </w:p>
        </w:tc>
        <w:tc>
          <w:tcPr>
            <w:tcW w:type="dxa" w:w="2541"/>
            <w:vAlign w:val="center"/>
          </w:tcPr>
          <w:p>
            <w:r>
              <w:rPr>
                <w:sz w:val="16"/>
              </w:rPr>
              <w:t>Names + configuration</w:t>
            </w:r>
          </w:p>
        </w:tc>
      </w:tr>
    </w:tbl>
    <w:p>
      <w:pPr>
        <w:spacing w:after="20"/>
      </w:pPr>
    </w:p>
    <w:p>
      <w:pPr>
        <w:pStyle w:val="Heading2"/>
      </w:pPr>
      <w:r>
        <w:t>Differently named logical objects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color w:val="17365D"/>
                <w:sz w:val="16"/>
              </w:rPr>
              <w:t>Logical object</w:t>
            </w:r>
          </w:p>
        </w:tc>
        <w:tc>
          <w:tcPr>
            <w:tcW w:type="dxa" w:w="3389"/>
            <w:shd w:fill="D9EAF7"/>
          </w:tcPr>
          <w:p>
            <w:r>
              <w:rPr>
                <w:b/>
                <w:color w:val="17365D"/>
                <w:sz w:val="16"/>
              </w:rPr>
              <w:t>Production</w:t>
            </w:r>
          </w:p>
        </w:tc>
        <w:tc>
          <w:tcPr>
            <w:tcW w:type="dxa" w:w="3389"/>
            <w:shd w:fill="D9EAF7"/>
          </w:tcPr>
          <w:p>
            <w:r>
              <w:rPr>
                <w:b/>
                <w:color w:val="17365D"/>
                <w:sz w:val="16"/>
              </w:rPr>
              <w:t>Development</w:t>
            </w:r>
          </w:p>
        </w:tc>
      </w:tr>
      <w:tr>
        <w:tc>
          <w:tcPr>
            <w:tcW w:type="dxa" w:w="3389"/>
            <w:vAlign w:val="center"/>
          </w:tcPr>
          <w:p>
            <w:r>
              <w:rPr>
                <w:sz w:val="16"/>
              </w:rPr>
              <w:t>scheme_reward_slab.id sequence</w:t>
            </w:r>
          </w:p>
        </w:tc>
        <w:tc>
          <w:tcPr>
            <w:tcW w:type="dxa" w:w="3389"/>
            <w:vAlign w:val="center"/>
          </w:tcPr>
          <w:p>
            <w:r>
              <w:rPr>
                <w:sz w:val="16"/>
              </w:rPr>
              <w:t>scheme_reward_slab_id_seq</w:t>
            </w:r>
          </w:p>
        </w:tc>
        <w:tc>
          <w:tcPr>
            <w:tcW w:type="dxa" w:w="3389"/>
            <w:vAlign w:val="center"/>
          </w:tcPr>
          <w:p>
            <w:r>
              <w:rPr>
                <w:sz w:val="16"/>
              </w:rPr>
              <w:t>scheme_slab_id_seq</w:t>
            </w:r>
          </w:p>
        </w:tc>
      </w:tr>
      <w:tr>
        <w:tc>
          <w:tcPr>
            <w:tcW w:type="dxa" w:w="3389"/>
            <w:vAlign w:val="center"/>
          </w:tcPr>
          <w:p>
            <w:r>
              <w:rPr>
                <w:sz w:val="16"/>
              </w:rPr>
              <w:t>PRIMARY KEY (id) constraint</w:t>
            </w:r>
          </w:p>
        </w:tc>
        <w:tc>
          <w:tcPr>
            <w:tcW w:type="dxa" w:w="3389"/>
            <w:vAlign w:val="center"/>
          </w:tcPr>
          <w:p>
            <w:r>
              <w:rPr>
                <w:sz w:val="16"/>
              </w:rPr>
              <w:t>scheme_reward_slab_pkey</w:t>
            </w:r>
          </w:p>
        </w:tc>
        <w:tc>
          <w:tcPr>
            <w:tcW w:type="dxa" w:w="3389"/>
            <w:vAlign w:val="center"/>
          </w:tcPr>
          <w:p>
            <w:r>
              <w:rPr>
                <w:sz w:val="16"/>
              </w:rPr>
              <w:t>scheme_slab_pkey</w:t>
            </w:r>
          </w:p>
        </w:tc>
      </w:tr>
      <w:tr>
        <w:tc>
          <w:tcPr>
            <w:tcW w:type="dxa" w:w="3389"/>
            <w:vAlign w:val="center"/>
          </w:tcPr>
          <w:p>
            <w:r>
              <w:rPr>
                <w:sz w:val="16"/>
              </w:rPr>
              <w:t>PRIMARY KEY backing index</w:t>
            </w:r>
          </w:p>
        </w:tc>
        <w:tc>
          <w:tcPr>
            <w:tcW w:type="dxa" w:w="3389"/>
            <w:vAlign w:val="center"/>
          </w:tcPr>
          <w:p>
            <w:r>
              <w:rPr>
                <w:sz w:val="16"/>
              </w:rPr>
              <w:t>scheme_reward_slab_pkey</w:t>
            </w:r>
          </w:p>
        </w:tc>
        <w:tc>
          <w:tcPr>
            <w:tcW w:type="dxa" w:w="3389"/>
            <w:vAlign w:val="center"/>
          </w:tcPr>
          <w:p>
            <w:r>
              <w:rPr>
                <w:sz w:val="16"/>
              </w:rPr>
              <w:t>scheme_slab_pkey</w:t>
            </w:r>
          </w:p>
        </w:tc>
      </w:tr>
    </w:tbl>
    <w:p>
      <w:pPr>
        <w:spacing w:after="20"/>
      </w:pPr>
    </w:p>
    <w:p>
      <w:r>
        <w:t>No other logical constraint-definition or normalized index-definition differences were found anywhere in the public schema.</w:t>
      </w:r>
    </w:p>
    <w:p>
      <w:pPr>
        <w:pStyle w:val="Heading2"/>
      </w:pPr>
      <w:r>
        <w:t>Other equivalent default-expression differences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r>
              <w:rPr>
                <w:b/>
                <w:color w:val="17365D"/>
                <w:sz w:val="16"/>
              </w:rPr>
              <w:t>Column</w:t>
            </w:r>
          </w:p>
        </w:tc>
        <w:tc>
          <w:tcPr>
            <w:tcW w:type="dxa" w:w="2541"/>
            <w:shd w:fill="D9EAF7"/>
          </w:tcPr>
          <w:p>
            <w:r>
              <w:rPr>
                <w:b/>
                <w:color w:val="17365D"/>
                <w:sz w:val="16"/>
              </w:rPr>
              <w:t>Production</w:t>
            </w:r>
          </w:p>
        </w:tc>
        <w:tc>
          <w:tcPr>
            <w:tcW w:type="dxa" w:w="2541"/>
            <w:shd w:fill="D9EAF7"/>
          </w:tcPr>
          <w:p>
            <w:r>
              <w:rPr>
                <w:b/>
                <w:color w:val="17365D"/>
                <w:sz w:val="16"/>
              </w:rPr>
              <w:t>Development</w:t>
            </w:r>
          </w:p>
        </w:tc>
        <w:tc>
          <w:tcPr>
            <w:tcW w:type="dxa" w:w="2541"/>
            <w:shd w:fill="D9EAF7"/>
          </w:tcPr>
          <w:p>
            <w:r>
              <w:rPr>
                <w:b/>
                <w:color w:val="17365D"/>
                <w:sz w:val="16"/>
              </w:rPr>
              <w:t>Meaning</w:t>
            </w:r>
          </w:p>
        </w:tc>
      </w:tr>
      <w:tr>
        <w:tc>
          <w:tcPr>
            <w:tcW w:type="dxa" w:w="2541"/>
            <w:vAlign w:val="center"/>
          </w:tcPr>
          <w:p>
            <w:r>
              <w:rPr>
                <w:sz w:val="16"/>
              </w:rPr>
              <w:t>alert.rupees_at_stake</w:t>
            </w:r>
          </w:p>
        </w:tc>
        <w:tc>
          <w:tcPr>
            <w:tcW w:type="dxa" w:w="2541"/>
            <w:vAlign w:val="center"/>
          </w:tcPr>
          <w:p>
            <w:r>
              <w:rPr>
                <w:sz w:val="16"/>
              </w:rPr>
              <w:t>'0'::numeric</w:t>
            </w:r>
          </w:p>
        </w:tc>
        <w:tc>
          <w:tcPr>
            <w:tcW w:type="dxa" w:w="2541"/>
            <w:vAlign w:val="center"/>
          </w:tcPr>
          <w:p>
            <w:r>
              <w:rPr>
                <w:sz w:val="16"/>
              </w:rPr>
              <w:t>0</w:t>
            </w:r>
          </w:p>
        </w:tc>
        <w:tc>
          <w:tcPr>
            <w:tcW w:type="dxa" w:w="2541"/>
            <w:vAlign w:val="center"/>
          </w:tcPr>
          <w:p>
            <w:r>
              <w:rPr>
                <w:sz w:val="16"/>
              </w:rPr>
              <w:t>Numeric zero</w:t>
            </w:r>
          </w:p>
        </w:tc>
      </w:tr>
      <w:tr>
        <w:tc>
          <w:tcPr>
            <w:tcW w:type="dxa" w:w="2541"/>
            <w:vAlign w:val="center"/>
          </w:tcPr>
          <w:p>
            <w:r>
              <w:rPr>
                <w:sz w:val="16"/>
              </w:rPr>
              <w:t>competitor_price.discount_pct_assumed</w:t>
            </w:r>
          </w:p>
        </w:tc>
        <w:tc>
          <w:tcPr>
            <w:tcW w:type="dxa" w:w="2541"/>
            <w:vAlign w:val="center"/>
          </w:tcPr>
          <w:p>
            <w:r>
              <w:rPr>
                <w:sz w:val="16"/>
              </w:rPr>
              <w:t>'40'::numeric</w:t>
            </w:r>
          </w:p>
        </w:tc>
        <w:tc>
          <w:tcPr>
            <w:tcW w:type="dxa" w:w="2541"/>
            <w:vAlign w:val="center"/>
          </w:tcPr>
          <w:p>
            <w:r>
              <w:rPr>
                <w:sz w:val="16"/>
              </w:rPr>
              <w:t>40</w:t>
            </w:r>
          </w:p>
        </w:tc>
        <w:tc>
          <w:tcPr>
            <w:tcW w:type="dxa" w:w="2541"/>
            <w:vAlign w:val="center"/>
          </w:tcPr>
          <w:p>
            <w:r>
              <w:rPr>
                <w:sz w:val="16"/>
              </w:rPr>
              <w:t>Numeric 40</w:t>
            </w:r>
          </w:p>
        </w:tc>
      </w:tr>
      <w:tr>
        <w:tc>
          <w:tcPr>
            <w:tcW w:type="dxa" w:w="2541"/>
            <w:vAlign w:val="center"/>
          </w:tcPr>
          <w:p>
            <w:r>
              <w:rPr>
                <w:sz w:val="16"/>
              </w:rPr>
              <w:t>secondary_order_upload.material_reasons</w:t>
            </w:r>
          </w:p>
        </w:tc>
        <w:tc>
          <w:tcPr>
            <w:tcW w:type="dxa" w:w="2541"/>
            <w:vAlign w:val="center"/>
          </w:tcPr>
          <w:p>
            <w:r>
              <w:rPr>
                <w:sz w:val="16"/>
              </w:rPr>
              <w:t>'{}'::text[]</w:t>
            </w:r>
          </w:p>
        </w:tc>
        <w:tc>
          <w:tcPr>
            <w:tcW w:type="dxa" w:w="2541"/>
            <w:vAlign w:val="center"/>
          </w:tcPr>
          <w:p>
            <w:r>
              <w:rPr>
                <w:sz w:val="16"/>
              </w:rPr>
              <w:t>ARRAY[]::text[]</w:t>
            </w:r>
          </w:p>
        </w:tc>
        <w:tc>
          <w:tcPr>
            <w:tcW w:type="dxa" w:w="2541"/>
            <w:vAlign w:val="center"/>
          </w:tcPr>
          <w:p>
            <w:r>
              <w:rPr>
                <w:sz w:val="16"/>
              </w:rPr>
              <w:t>Empty text array</w:t>
            </w:r>
          </w:p>
        </w:tc>
      </w:tr>
      <w:tr>
        <w:tc>
          <w:tcPr>
            <w:tcW w:type="dxa" w:w="2541"/>
            <w:vAlign w:val="center"/>
          </w:tcPr>
          <w:p>
            <w:r>
              <w:rPr>
                <w:sz w:val="16"/>
              </w:rPr>
              <w:t>scheme_reward_slab.id</w:t>
            </w:r>
          </w:p>
        </w:tc>
        <w:tc>
          <w:tcPr>
            <w:tcW w:type="dxa" w:w="2541"/>
            <w:vAlign w:val="center"/>
          </w:tcPr>
          <w:p>
            <w:r>
              <w:rPr>
                <w:sz w:val="16"/>
              </w:rPr>
              <w:t>nextval('scheme_reward_slab_id_seq')</w:t>
            </w:r>
          </w:p>
        </w:tc>
        <w:tc>
          <w:tcPr>
            <w:tcW w:type="dxa" w:w="2541"/>
            <w:vAlign w:val="center"/>
          </w:tcPr>
          <w:p>
            <w:r>
              <w:rPr>
                <w:sz w:val="16"/>
              </w:rPr>
              <w:t>nextval('scheme_slab_id_seq')</w:t>
            </w:r>
          </w:p>
        </w:tc>
        <w:tc>
          <w:tcPr>
            <w:tcW w:type="dxa" w:w="2541"/>
            <w:vAlign w:val="center"/>
          </w:tcPr>
          <w:p>
            <w:r>
              <w:rPr>
                <w:sz w:val="16"/>
              </w:rPr>
              <w:t>Substantive sequence-name difference</w:t>
            </w:r>
          </w:p>
        </w:tc>
      </w:tr>
    </w:tbl>
    <w:p>
      <w:pPr>
        <w:spacing w:after="20"/>
      </w:pPr>
    </w:p>
    <w:p>
      <w:r>
        <w:t>The first three differences are equivalent PostgreSQL expression forms, not differently named schema objects. The slab sequence/default pair is the only substantive object-name divergence.</w:t>
      </w:r>
    </w:p>
    <w:p>
      <w:pPr>
        <w:pStyle w:val="Heading1"/>
      </w:pPr>
      <w:r>
        <w:t>Final finding</w:t>
      </w:r>
    </w:p>
    <w:p>
      <w:r>
        <w:rPr>
          <w:b/>
        </w:rPr>
        <w:t>The scheme_reward_slab sequence and primary-key pair is the only logical-equivalent-but-differently-named object pair across the audited public schemas.</w:t>
      </w:r>
    </w:p>
    <w:p>
      <w:r>
        <w:rPr>
          <w:b/>
          <w:color w:val="C00000"/>
        </w:rPr>
        <w:t>No alignment should occur until a separate development-only rename operation is explicitly approved.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Prayag Sales Intelligence • Scheme Reward Slab Pre-Alignment Audit • 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