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Full Audit of the Three Deep Dive Pages</w:t>
      </w:r>
    </w:p>
    <w:p>
      <w:pPr>
        <w:jc w:val="center"/>
      </w:pPr>
      <w:r>
        <w:rPr>
          <w:b/>
          <w:color w:val="2F5597"/>
          <w:sz w:val="24"/>
        </w:rPr>
        <w:t>Replit Prompt 102 — Sales, Distributor and SKU Deep Dive</w:t>
      </w:r>
    </w:p>
    <w:p>
      <w:pPr>
        <w:jc w:val="center"/>
      </w:pPr>
      <w:r>
        <w:rPr>
          <w:i/>
        </w:rPr>
        <w:t>Read-only audit • 17 September 2026 • No application or database changes</w:t>
      </w:r>
    </w:p>
    <w:tbl>
      <w:tblPr>
        <w:tblStyle w:val="TableGrid"/>
        <w:tblW w:type="auto" w:w="0"/>
        <w:tblLook w:firstColumn="1" w:firstRow="1" w:lastColumn="0" w:lastRow="0" w:noHBand="0" w:noVBand="1" w:val="04A0"/>
      </w:tblPr>
      <w:tblGrid>
        <w:gridCol w:w="10656"/>
      </w:tblGrid>
      <w:tr>
        <w:tc>
          <w:tcPr>
            <w:tcW w:type="dxa" w:w="10656"/>
            <w:shd w:fill="D9EAD3"/>
          </w:tcPr>
          <w:p>
            <w:r>
              <w:rPr>
                <w:b/>
              </w:rPr>
              <w:t xml:space="preserve">Evidence scope: </w:t>
            </w:r>
            <w:r>
              <w:t>Current source code, targeted tests, development database, read-only production database, and the current distributor directory loader. Authenticated production page/export responses were not available; those items are explicitly marked unverified.</w:t>
            </w:r>
          </w:p>
        </w:tc>
      </w:tr>
    </w:tbl>
    <w:p>
      <w:pPr>
        <w:spacing w:after="0"/>
      </w:pPr>
    </w:p>
    <w:p>
      <w:pPr>
        <w:pStyle w:val="Heading1"/>
      </w:pPr>
      <w:r>
        <w:t>Executive audit result</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1800"/>
            <w:shd w:fill="1F4E78"/>
            <w:vAlign w:val="center"/>
          </w:tcPr>
          <w:p>
            <w:r>
              <w:rPr>
                <w:b/>
                <w:color w:val="FFFFFF"/>
                <w:sz w:val="16"/>
              </w:rPr>
              <w:t>Status</w:t>
            </w:r>
          </w:p>
        </w:tc>
        <w:tc>
          <w:tcPr>
            <w:tcW w:type="dxa" w:w="8496"/>
            <w:shd w:fill="1F4E78"/>
            <w:vAlign w:val="center"/>
          </w:tcPr>
          <w:p>
            <w:r>
              <w:rPr>
                <w:b/>
                <w:color w:val="FFFFFF"/>
                <w:sz w:val="16"/>
              </w:rPr>
              <w:t>Finding</w:t>
            </w:r>
          </w:p>
        </w:tc>
      </w:tr>
      <w:tr>
        <w:tc>
          <w:tcPr>
            <w:tcW w:type="dxa" w:w="1800"/>
            <w:vAlign w:val="center"/>
          </w:tcPr>
          <w:p>
            <w:r>
              <w:rPr>
                <w:sz w:val="15"/>
              </w:rPr>
              <w:t>Confirmed defect</w:t>
            </w:r>
          </w:p>
        </w:tc>
        <w:tc>
          <w:tcPr>
            <w:tcW w:type="dxa" w:w="8496"/>
            <w:vAlign w:val="center"/>
          </w:tcPr>
          <w:p>
            <w:r>
              <w:rPr>
                <w:sz w:val="15"/>
              </w:rPr>
              <w:t>Sales Deep Dive still presents a flat pace × 12 “Projected Year-End”; no seasonal curve is used.</w:t>
            </w:r>
          </w:p>
        </w:tc>
      </w:tr>
      <w:tr>
        <w:tc>
          <w:tcPr>
            <w:tcW w:type="dxa" w:w="1800"/>
            <w:vAlign w:val="center"/>
            <w:shd w:fill="EAF2F8"/>
          </w:tcPr>
          <w:p>
            <w:r>
              <w:rPr>
                <w:sz w:val="15"/>
              </w:rPr>
              <w:t>Confirmed defect</w:t>
            </w:r>
          </w:p>
        </w:tc>
        <w:tc>
          <w:tcPr>
            <w:tcW w:type="dxa" w:w="8496"/>
            <w:vAlign w:val="center"/>
            <w:shd w:fill="EAF2F8"/>
          </w:tcPr>
          <w:p>
            <w:r>
              <w:rPr>
                <w:sz w:val="15"/>
              </w:rPr>
              <w:t>Projection includes party/secondary OB plus direct-dealer OB but compares with a plan described as annual secondary Business Plan.</w:t>
            </w:r>
          </w:p>
        </w:tc>
      </w:tr>
      <w:tr>
        <w:tc>
          <w:tcPr>
            <w:tcW w:type="dxa" w:w="1800"/>
            <w:vAlign w:val="center"/>
          </w:tcPr>
          <w:p>
            <w:r>
              <w:rPr>
                <w:sz w:val="15"/>
              </w:rPr>
              <w:t>Confirmed defect</w:t>
            </w:r>
          </w:p>
        </w:tc>
        <w:tc>
          <w:tcPr>
            <w:tcW w:type="dxa" w:w="8496"/>
            <w:vAlign w:val="center"/>
          </w:tcPr>
          <w:p>
            <w:r>
              <w:rPr>
                <w:sz w:val="15"/>
              </w:rPr>
              <w:t>Sales coverage totals still come from different populations and have no reconciliation rule; the 59 / 46 / 18 mismatch remains structurally possible.</w:t>
            </w:r>
          </w:p>
        </w:tc>
      </w:tr>
      <w:tr>
        <w:tc>
          <w:tcPr>
            <w:tcW w:type="dxa" w:w="1800"/>
            <w:vAlign w:val="center"/>
            <w:shd w:fill="EAF2F8"/>
          </w:tcPr>
          <w:p>
            <w:r>
              <w:rPr>
                <w:sz w:val="15"/>
              </w:rPr>
              <w:t>Fixed</w:t>
            </w:r>
          </w:p>
        </w:tc>
        <w:tc>
          <w:tcPr>
            <w:tcW w:type="dxa" w:w="8496"/>
            <w:vAlign w:val="center"/>
            <w:shd w:fill="EAF2F8"/>
          </w:tcPr>
          <w:p>
            <w:r>
              <w:rPr>
                <w:sz w:val="15"/>
              </w:rPr>
              <w:t>“Orders / Day” value mislabelling is absent from current code; order count, booking value, and sales received are distinct.</w:t>
            </w:r>
          </w:p>
        </w:tc>
      </w:tr>
      <w:tr>
        <w:tc>
          <w:tcPr>
            <w:tcW w:type="dxa" w:w="1800"/>
            <w:vAlign w:val="center"/>
          </w:tcPr>
          <w:p>
            <w:r>
              <w:rPr>
                <w:sz w:val="15"/>
              </w:rPr>
              <w:t>Fixed</w:t>
            </w:r>
          </w:p>
        </w:tc>
        <w:tc>
          <w:tcPr>
            <w:tcW w:type="dxa" w:w="8496"/>
            <w:vAlign w:val="center"/>
          </w:tcPr>
          <w:p>
            <w:r>
              <w:rPr>
                <w:sz w:val="15"/>
              </w:rPr>
              <w:t>Total Target composition is now stated as secondary plus direct-dealer booking, not dispatch.</w:t>
            </w:r>
          </w:p>
        </w:tc>
      </w:tr>
      <w:tr>
        <w:tc>
          <w:tcPr>
            <w:tcW w:type="dxa" w:w="1800"/>
            <w:vAlign w:val="center"/>
            <w:shd w:fill="EAF2F8"/>
          </w:tcPr>
          <w:p>
            <w:r>
              <w:rPr>
                <w:sz w:val="15"/>
              </w:rPr>
              <w:t>Fixed/partial</w:t>
            </w:r>
          </w:p>
        </w:tc>
        <w:tc>
          <w:tcPr>
            <w:tcW w:type="dxa" w:w="8496"/>
            <w:vAlign w:val="center"/>
            <w:shd w:fill="EAF2F8"/>
          </w:tcPr>
          <w:p>
            <w:r>
              <w:rPr>
                <w:sz w:val="15"/>
              </w:rPr>
              <w:t>Sales Deep Dive export was restructured to 11 sheets, although the UI still says ten.</w:t>
            </w:r>
          </w:p>
        </w:tc>
      </w:tr>
      <w:tr>
        <w:tc>
          <w:tcPr>
            <w:tcW w:type="dxa" w:w="1800"/>
            <w:vAlign w:val="center"/>
          </w:tcPr>
          <w:p>
            <w:r>
              <w:rPr>
                <w:sz w:val="15"/>
              </w:rPr>
              <w:t>Confirmed gap</w:t>
            </w:r>
          </w:p>
        </w:tc>
        <w:tc>
          <w:tcPr>
            <w:tcW w:type="dxa" w:w="8496"/>
            <w:vAlign w:val="center"/>
          </w:tcPr>
          <w:p>
            <w:r>
              <w:rPr>
                <w:sz w:val="15"/>
              </w:rPr>
              <w:t>Distributor Deep Dive has no export.</w:t>
            </w:r>
          </w:p>
        </w:tc>
      </w:tr>
      <w:tr>
        <w:tc>
          <w:tcPr>
            <w:tcW w:type="dxa" w:w="1800"/>
            <w:vAlign w:val="center"/>
            <w:shd w:fill="EAF2F8"/>
          </w:tcPr>
          <w:p>
            <w:r>
              <w:rPr>
                <w:sz w:val="15"/>
              </w:rPr>
              <w:t>Current scope changed</w:t>
            </w:r>
          </w:p>
        </w:tc>
        <w:tc>
          <w:tcPr>
            <w:tcW w:type="dxa" w:w="8496"/>
            <w:vAlign w:val="center"/>
            <w:shd w:fill="EAF2F8"/>
          </w:tcPr>
          <w:p>
            <w:r>
              <w:rPr>
                <w:sz w:val="15"/>
              </w:rPr>
              <w:t>Current loaded directory: 191 distributors, 155 members, 23 states, 12 heads; all 12 head payloads were stale snapshots. Master identity table contains 269 distributors.</w:t>
            </w:r>
          </w:p>
        </w:tc>
      </w:tr>
      <w:tr>
        <w:tc>
          <w:tcPr>
            <w:tcW w:type="dxa" w:w="1800"/>
            <w:vAlign w:val="center"/>
          </w:tcPr>
          <w:p>
            <w:r>
              <w:rPr>
                <w:sz w:val="15"/>
              </w:rPr>
              <w:t>Confirmed</w:t>
            </w:r>
          </w:p>
        </w:tc>
        <w:tc>
          <w:tcPr>
            <w:tcW w:type="dxa" w:w="8496"/>
            <w:vAlign w:val="center"/>
          </w:tcPr>
          <w:p>
            <w:r>
              <w:rPr>
                <w:sz w:val="15"/>
              </w:rPr>
              <w:t>Distributor D3 correctly shows six master categories with legacy brand/source detail beneath.</w:t>
            </w:r>
          </w:p>
        </w:tc>
      </w:tr>
      <w:tr>
        <w:tc>
          <w:tcPr>
            <w:tcW w:type="dxa" w:w="1800"/>
            <w:vAlign w:val="center"/>
            <w:shd w:fill="EAF2F8"/>
          </w:tcPr>
          <w:p>
            <w:r>
              <w:rPr>
                <w:sz w:val="15"/>
              </w:rPr>
              <w:t>Confirmed</w:t>
            </w:r>
          </w:p>
        </w:tc>
        <w:tc>
          <w:tcPr>
            <w:tcW w:type="dxa" w:w="8496"/>
            <w:vAlign w:val="center"/>
            <w:shd w:fill="EAF2F8"/>
          </w:tcPr>
          <w:p>
            <w:r>
              <w:rPr>
                <w:sz w:val="15"/>
              </w:rPr>
              <w:t>SKU Deep Dive remains on the old 17-group presentation.</w:t>
            </w:r>
          </w:p>
        </w:tc>
      </w:tr>
      <w:tr>
        <w:tc>
          <w:tcPr>
            <w:tcW w:type="dxa" w:w="1800"/>
            <w:vAlign w:val="center"/>
          </w:tcPr>
          <w:p>
            <w:r>
              <w:rPr>
                <w:sz w:val="15"/>
              </w:rPr>
              <w:t>Environment defect</w:t>
            </w:r>
          </w:p>
        </w:tc>
        <w:tc>
          <w:tcPr>
            <w:tcW w:type="dxa" w:w="8496"/>
            <w:vAlign w:val="center"/>
          </w:tcPr>
          <w:p>
            <w:r>
              <w:rPr>
                <w:sz w:val="15"/>
              </w:rPr>
              <w:t>Development category registry has 9,758 rows but zero master_category values; production has six masters. A six-master SKU cutover in development would currently classify all primary value as Unmapped.</w:t>
            </w:r>
          </w:p>
        </w:tc>
      </w:tr>
      <w:tr>
        <w:tc>
          <w:tcPr>
            <w:tcW w:type="dxa" w:w="1800"/>
            <w:vAlign w:val="center"/>
            <w:shd w:fill="EAF2F8"/>
          </w:tcPr>
          <w:p>
            <w:r>
              <w:rPr>
                <w:sz w:val="15"/>
              </w:rPr>
              <w:t>Current data drift</w:t>
            </w:r>
          </w:p>
        </w:tc>
        <w:tc>
          <w:tcPr>
            <w:tcW w:type="dxa" w:w="8496"/>
            <w:vAlign w:val="center"/>
            <w:shd w:fill="EAF2F8"/>
          </w:tcPr>
          <w:p>
            <w:r>
              <w:rPr>
                <w:sz w:val="15"/>
              </w:rPr>
              <w:t>Current FY authority gap is 828 codes / ₹10.87 Cr in development and 870 codes / ₹10.99 Cr in production, not 814 / ₹9.36 Cr.</w:t>
            </w:r>
          </w:p>
        </w:tc>
      </w:tr>
      <w:tr>
        <w:tc>
          <w:tcPr>
            <w:tcW w:type="dxa" w:w="1800"/>
            <w:vAlign w:val="center"/>
          </w:tcPr>
          <w:p>
            <w:r>
              <w:rPr>
                <w:sz w:val="15"/>
              </w:rPr>
              <w:t>Current hold conflict</w:t>
            </w:r>
          </w:p>
        </w:tc>
        <w:tc>
          <w:tcPr>
            <w:tcW w:type="dxa" w:w="8496"/>
            <w:vAlign w:val="center"/>
          </w:tcPr>
          <w:p>
            <w:r>
              <w:rPr>
                <w:sz w:val="15"/>
              </w:rPr>
              <w:t>Development has partial August secondary SKU data, but H2 remains open and blocks retailer-level SKU endpoints; production still has zero August rows.</w:t>
            </w:r>
          </w:p>
        </w:tc>
      </w:tr>
      <w:tr>
        <w:tc>
          <w:tcPr>
            <w:tcW w:type="dxa" w:w="1800"/>
            <w:vAlign w:val="center"/>
            <w:shd w:fill="EAF2F8"/>
          </w:tcPr>
          <w:p>
            <w:r>
              <w:rPr>
                <w:sz w:val="15"/>
              </w:rPr>
              <w:t>Formatting defect</w:t>
            </w:r>
          </w:p>
        </w:tc>
        <w:tc>
          <w:tcPr>
            <w:tcW w:type="dxa" w:w="8496"/>
            <w:vAlign w:val="center"/>
            <w:shd w:fill="EAF2F8"/>
          </w:tcPr>
          <w:p>
            <w:r>
              <w:rPr>
                <w:sz w:val="15"/>
              </w:rPr>
              <w:t>SKU Overview can format a small positive value as ₹0 Cr.</w:t>
            </w:r>
          </w:p>
        </w:tc>
      </w:tr>
      <w:tr>
        <w:tc>
          <w:tcPr>
            <w:tcW w:type="dxa" w:w="1800"/>
            <w:vAlign w:val="center"/>
          </w:tcPr>
          <w:p>
            <w:r>
              <w:rPr>
                <w:sz w:val="15"/>
              </w:rPr>
              <w:t>Common disclosure gap</w:t>
            </w:r>
          </w:p>
        </w:tc>
        <w:tc>
          <w:tcPr>
            <w:tcW w:type="dxa" w:w="8496"/>
            <w:vAlign w:val="center"/>
          </w:tcPr>
          <w:p>
            <w:r>
              <w:rPr>
                <w:sz w:val="15"/>
              </w:rPr>
              <w:t>Sales and Distributor Deep Dive do not display the shared provisional-month banner; SKU does, but does not say August is partial through 19 August.</w:t>
            </w:r>
          </w:p>
        </w:tc>
      </w:tr>
    </w:tbl>
    <w:p>
      <w:pPr>
        <w:spacing w:after="0"/>
      </w:pPr>
    </w:p>
    <w:p>
      <w:pPr>
        <w:pStyle w:val="Heading1"/>
      </w:pPr>
      <w:r>
        <w:t>Environment and verification notes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592"/>
            <w:shd w:fill="1F4E78"/>
            <w:vAlign w:val="center"/>
          </w:tcPr>
          <w:p>
            <w:r>
              <w:rPr>
                <w:b/>
                <w:color w:val="FFFFFF"/>
                <w:sz w:val="16"/>
              </w:rPr>
              <w:t>Evidence</w:t>
            </w:r>
          </w:p>
        </w:tc>
        <w:tc>
          <w:tcPr>
            <w:tcW w:type="dxa" w:w="3816"/>
            <w:shd w:fill="1F4E78"/>
            <w:vAlign w:val="center"/>
          </w:tcPr>
          <w:p>
            <w:r>
              <w:rPr>
                <w:b/>
                <w:color w:val="FFFFFF"/>
                <w:sz w:val="16"/>
              </w:rPr>
              <w:t>Development</w:t>
            </w:r>
          </w:p>
        </w:tc>
        <w:tc>
          <w:tcPr>
            <w:tcW w:type="dxa" w:w="3816"/>
            <w:shd w:fill="1F4E78"/>
            <w:vAlign w:val="center"/>
          </w:tcPr>
          <w:p>
            <w:r>
              <w:rPr>
                <w:b/>
                <w:color w:val="FFFFFF"/>
                <w:sz w:val="16"/>
              </w:rPr>
              <w:t>Production</w:t>
            </w:r>
          </w:p>
        </w:tc>
      </w:tr>
      <w:tr>
        <w:tc>
          <w:tcPr>
            <w:tcW w:type="dxa" w:w="2592"/>
            <w:vAlign w:val="center"/>
          </w:tcPr>
          <w:p>
            <w:r>
              <w:rPr>
                <w:sz w:val="15"/>
              </w:rPr>
              <w:t>August 2026 secondary SKU</w:t>
            </w:r>
          </w:p>
        </w:tc>
        <w:tc>
          <w:tcPr>
            <w:tcW w:type="dxa" w:w="3816"/>
            <w:vAlign w:val="center"/>
          </w:tcPr>
          <w:p>
            <w:r>
              <w:rPr>
                <w:sz w:val="15"/>
              </w:rPr>
              <w:t>8,602 rows; 1,132 distinct raw retailer_id values; ₹5.64 Cr; source file dated 19 Aug</w:t>
            </w:r>
          </w:p>
        </w:tc>
        <w:tc>
          <w:tcPr>
            <w:tcW w:type="dxa" w:w="3816"/>
            <w:vAlign w:val="center"/>
          </w:tcPr>
          <w:p>
            <w:r>
              <w:rPr>
                <w:sz w:val="15"/>
              </w:rPr>
              <w:t>0 rows</w:t>
            </w:r>
          </w:p>
        </w:tc>
      </w:tr>
      <w:tr>
        <w:tc>
          <w:tcPr>
            <w:tcW w:type="dxa" w:w="2592"/>
            <w:vAlign w:val="center"/>
            <w:shd w:fill="EAF2F8"/>
          </w:tcPr>
          <w:p>
            <w:r>
              <w:rPr>
                <w:sz w:val="15"/>
              </w:rPr>
              <w:t>H2 August hold</w:t>
            </w:r>
          </w:p>
        </w:tc>
        <w:tc>
          <w:tcPr>
            <w:tcW w:type="dxa" w:w="3816"/>
            <w:vAlign w:val="center"/>
            <w:shd w:fill="EAF2F8"/>
          </w:tcPr>
          <w:p>
            <w:r>
              <w:rPr>
                <w:sz w:val="15"/>
              </w:rPr>
              <w:t>Open; blocks API</w:t>
            </w:r>
          </w:p>
        </w:tc>
        <w:tc>
          <w:tcPr>
            <w:tcW w:type="dxa" w:w="3816"/>
            <w:vAlign w:val="center"/>
            <w:shd w:fill="EAF2F8"/>
          </w:tcPr>
          <w:p>
            <w:r>
              <w:rPr>
                <w:sz w:val="15"/>
              </w:rPr>
              <w:t>Open; blocks API</w:t>
            </w:r>
          </w:p>
        </w:tc>
      </w:tr>
      <w:tr>
        <w:tc>
          <w:tcPr>
            <w:tcW w:type="dxa" w:w="2592"/>
            <w:vAlign w:val="center"/>
          </w:tcPr>
          <w:p>
            <w:r>
              <w:rPr>
                <w:sz w:val="15"/>
              </w:rPr>
              <w:t>H1 PTMT margin Jan–Apr</w:t>
            </w:r>
          </w:p>
        </w:tc>
        <w:tc>
          <w:tcPr>
            <w:tcW w:type="dxa" w:w="3816"/>
            <w:vAlign w:val="center"/>
          </w:tcPr>
          <w:p>
            <w:r>
              <w:rPr>
                <w:sz w:val="15"/>
              </w:rPr>
              <w:t>Open; blocks API</w:t>
            </w:r>
          </w:p>
        </w:tc>
        <w:tc>
          <w:tcPr>
            <w:tcW w:type="dxa" w:w="3816"/>
            <w:vAlign w:val="center"/>
          </w:tcPr>
          <w:p>
            <w:r>
              <w:rPr>
                <w:sz w:val="15"/>
              </w:rPr>
              <w:t>Open; blocks API</w:t>
            </w:r>
          </w:p>
        </w:tc>
      </w:tr>
      <w:tr>
        <w:tc>
          <w:tcPr>
            <w:tcW w:type="dxa" w:w="2592"/>
            <w:vAlign w:val="center"/>
            <w:shd w:fill="EAF2F8"/>
          </w:tcPr>
          <w:p>
            <w:r>
              <w:rPr>
                <w:sz w:val="15"/>
              </w:rPr>
              <w:t>Canonical category registry</w:t>
            </w:r>
          </w:p>
        </w:tc>
        <w:tc>
          <w:tcPr>
            <w:tcW w:type="dxa" w:w="3816"/>
            <w:vAlign w:val="center"/>
            <w:shd w:fill="EAF2F8"/>
          </w:tcPr>
          <w:p>
            <w:r>
              <w:rPr>
                <w:sz w:val="15"/>
              </w:rPr>
              <w:t>9,758 rows; 0 populated master categories</w:t>
            </w:r>
          </w:p>
        </w:tc>
        <w:tc>
          <w:tcPr>
            <w:tcW w:type="dxa" w:w="3816"/>
            <w:vAlign w:val="center"/>
            <w:shd w:fill="EAF2F8"/>
          </w:tcPr>
          <w:p>
            <w:r>
              <w:rPr>
                <w:sz w:val="15"/>
              </w:rPr>
              <w:t>20,116 rows; 6 masters</w:t>
            </w:r>
          </w:p>
        </w:tc>
      </w:tr>
      <w:tr>
        <w:tc>
          <w:tcPr>
            <w:tcW w:type="dxa" w:w="2592"/>
            <w:vAlign w:val="center"/>
          </w:tcPr>
          <w:p>
            <w:r>
              <w:rPr>
                <w:sz w:val="15"/>
              </w:rPr>
              <w:t>Current-FY authority gap</w:t>
            </w:r>
          </w:p>
        </w:tc>
        <w:tc>
          <w:tcPr>
            <w:tcW w:type="dxa" w:w="3816"/>
            <w:vAlign w:val="center"/>
          </w:tcPr>
          <w:p>
            <w:r>
              <w:rPr>
                <w:sz w:val="15"/>
              </w:rPr>
              <w:t>828 codes; 4,736 lines; ₹10.87 Cr</w:t>
            </w:r>
          </w:p>
        </w:tc>
        <w:tc>
          <w:tcPr>
            <w:tcW w:type="dxa" w:w="3816"/>
            <w:vAlign w:val="center"/>
          </w:tcPr>
          <w:p>
            <w:r>
              <w:rPr>
                <w:sz w:val="15"/>
              </w:rPr>
              <w:t>870 codes; 4,799 lines; ₹10.99 Cr</w:t>
            </w:r>
          </w:p>
        </w:tc>
      </w:tr>
      <w:tr>
        <w:tc>
          <w:tcPr>
            <w:tcW w:type="dxa" w:w="2592"/>
            <w:vAlign w:val="center"/>
            <w:shd w:fill="EAF2F8"/>
          </w:tcPr>
          <w:p>
            <w:r>
              <w:rPr>
                <w:sz w:val="15"/>
              </w:rPr>
              <w:t>Distributor master</w:t>
            </w:r>
          </w:p>
        </w:tc>
        <w:tc>
          <w:tcPr>
            <w:tcW w:type="dxa" w:w="3816"/>
            <w:vAlign w:val="center"/>
            <w:shd w:fill="EAF2F8"/>
          </w:tcPr>
          <w:p>
            <w:r>
              <w:rPr>
                <w:sz w:val="15"/>
              </w:rPr>
              <w:t>269 identities</w:t>
            </w:r>
          </w:p>
        </w:tc>
        <w:tc>
          <w:tcPr>
            <w:tcW w:type="dxa" w:w="3816"/>
            <w:vAlign w:val="center"/>
            <w:shd w:fill="EAF2F8"/>
          </w:tcPr>
          <w:p>
            <w:r>
              <w:rPr>
                <w:sz w:val="15"/>
              </w:rPr>
              <w:t>269 identities</w:t>
            </w:r>
          </w:p>
        </w:tc>
      </w:tr>
    </w:tbl>
    <w:p>
      <w:pPr>
        <w:spacing w:after="0"/>
      </w:pPr>
    </w:p>
    <w:p>
      <w:r>
        <w:t>Targeted verification: distributorTabs.test.ts and deepDiveExport.test.ts both passed — 78 tests total. The historical multiplier output assertions now cover deflator, realCurrent, and realGrowth. This proves current source/test behavior, not a live production request.</w:t>
      </w:r>
    </w:p>
    <w:p>
      <w:pPr>
        <w:pStyle w:val="Heading1"/>
      </w:pPr>
      <w:r>
        <w:t>Section A — Sales Deep Dive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728"/>
            <w:shd w:fill="1F4E78"/>
            <w:vAlign w:val="center"/>
          </w:tcPr>
          <w:p>
            <w:r>
              <w:rPr>
                <w:b/>
                <w:color w:val="FFFFFF"/>
                <w:sz w:val="16"/>
              </w:rPr>
              <w:t>Item</w:t>
            </w:r>
          </w:p>
        </w:tc>
        <w:tc>
          <w:tcPr>
            <w:tcW w:type="dxa" w:w="1656"/>
            <w:shd w:fill="1F4E78"/>
            <w:vAlign w:val="center"/>
          </w:tcPr>
          <w:p>
            <w:r>
              <w:rPr>
                <w:b/>
                <w:color w:val="FFFFFF"/>
                <w:sz w:val="16"/>
              </w:rPr>
              <w:t>Status</w:t>
            </w:r>
          </w:p>
        </w:tc>
        <w:tc>
          <w:tcPr>
            <w:tcW w:type="dxa" w:w="7056"/>
            <w:shd w:fill="1F4E78"/>
            <w:vAlign w:val="center"/>
          </w:tcPr>
          <w:p>
            <w:r>
              <w:rPr>
                <w:b/>
                <w:color w:val="FFFFFF"/>
                <w:sz w:val="16"/>
              </w:rPr>
              <w:t>Finding</w:t>
            </w:r>
          </w:p>
        </w:tc>
      </w:tr>
      <w:tr>
        <w:tc>
          <w:tcPr>
            <w:tcW w:type="dxa" w:w="1728"/>
            <w:vAlign w:val="center"/>
          </w:tcPr>
          <w:p>
            <w:r>
              <w:rPr>
                <w:sz w:val="15"/>
              </w:rPr>
              <w:t>A1 — Other/raw names</w:t>
            </w:r>
          </w:p>
        </w:tc>
        <w:tc>
          <w:tcPr>
            <w:tcW w:type="dxa" w:w="1656"/>
            <w:vAlign w:val="center"/>
          </w:tcPr>
          <w:p>
            <w:r>
              <w:rPr>
                <w:sz w:val="15"/>
              </w:rPr>
              <w:t>Partly fixed</w:t>
            </w:r>
          </w:p>
        </w:tc>
        <w:tc>
          <w:tcPr>
            <w:tcW w:type="dxa" w:w="7056"/>
            <w:vAlign w:val="center"/>
          </w:tcPr>
          <w:p>
            <w:r>
              <w:rPr>
                <w:sz w:val="15"/>
              </w:rPr>
              <w:t>The five exact raw names no longer occur in current repository source. The renderer now allows only manifest-approved fields, uses readable labels, and places approved-but-ungrouped fields in Other. The old names’ exact business meanings are no longer recoverable from current code. TARGETCALCULATEDBGBF was previously a duplicate of Total Target to date; the current manifest does not expose that raw label.</w:t>
            </w:r>
          </w:p>
        </w:tc>
      </w:tr>
      <w:tr>
        <w:tc>
          <w:tcPr>
            <w:tcW w:type="dxa" w:w="1728"/>
            <w:vAlign w:val="center"/>
            <w:shd w:fill="EAF2F8"/>
          </w:tcPr>
          <w:p>
            <w:r>
              <w:rPr>
                <w:sz w:val="15"/>
              </w:rPr>
              <w:t>A2 — Coverage arithmetic</w:t>
            </w:r>
          </w:p>
        </w:tc>
        <w:tc>
          <w:tcPr>
            <w:tcW w:type="dxa" w:w="1656"/>
            <w:vAlign w:val="center"/>
            <w:shd w:fill="EAF2F8"/>
          </w:tcPr>
          <w:p>
            <w:r>
              <w:rPr>
                <w:sz w:val="15"/>
              </w:rPr>
              <w:t>Still unresolved</w:t>
            </w:r>
          </w:p>
        </w:tc>
        <w:tc>
          <w:tcPr>
            <w:tcW w:type="dxa" w:w="7056"/>
            <w:vAlign w:val="center"/>
            <w:shd w:fill="EAF2F8"/>
          </w:tcPr>
          <w:p>
            <w:r>
              <w:rPr>
                <w:sz w:val="15"/>
              </w:rPr>
              <w:t>Total Old Retailers and Non-Visited come from member/order-sheet populations; Visited comes from HR/SFA visit evidence. The UI displays them together without asserting total = visited + non-visited or explaining the population difference. The reported 59 / 46 / 18 figures therefore remain structurally possible.</w:t>
            </w:r>
          </w:p>
        </w:tc>
      </w:tr>
      <w:tr>
        <w:tc>
          <w:tcPr>
            <w:tcW w:type="dxa" w:w="1728"/>
            <w:vAlign w:val="center"/>
          </w:tcPr>
          <w:p>
            <w:r>
              <w:rPr>
                <w:sz w:val="15"/>
              </w:rPr>
              <w:t>A3 — Orders / Day</w:t>
            </w:r>
          </w:p>
        </w:tc>
        <w:tc>
          <w:tcPr>
            <w:tcW w:type="dxa" w:w="1656"/>
            <w:vAlign w:val="center"/>
          </w:tcPr>
          <w:p>
            <w:r>
              <w:rPr>
                <w:sz w:val="15"/>
              </w:rPr>
              <w:t>Fixed</w:t>
            </w:r>
          </w:p>
        </w:tc>
        <w:tc>
          <w:tcPr>
            <w:tcW w:type="dxa" w:w="7056"/>
            <w:vAlign w:val="center"/>
          </w:tcPr>
          <w:p>
            <w:r>
              <w:rPr>
                <w:sz w:val="15"/>
              </w:rPr>
              <w:t>No current “Orders / Day” value label exists. The page separately labels Order Booking (Retailer / Party), Sales Received, and No. of Orders.</w:t>
            </w:r>
          </w:p>
        </w:tc>
      </w:tr>
      <w:tr>
        <w:tc>
          <w:tcPr>
            <w:tcW w:type="dxa" w:w="1728"/>
            <w:vAlign w:val="center"/>
            <w:shd w:fill="EAF2F8"/>
          </w:tcPr>
          <w:p>
            <w:r>
              <w:rPr>
                <w:sz w:val="15"/>
              </w:rPr>
              <w:t>A4 — Projected Year-End</w:t>
            </w:r>
          </w:p>
        </w:tc>
        <w:tc>
          <w:tcPr>
            <w:tcW w:type="dxa" w:w="1656"/>
            <w:vAlign w:val="center"/>
            <w:shd w:fill="EAF2F8"/>
          </w:tcPr>
          <w:p>
            <w:r>
              <w:rPr>
                <w:sz w:val="15"/>
              </w:rPr>
              <w:t>Still present</w:t>
            </w:r>
          </w:p>
        </w:tc>
        <w:tc>
          <w:tcPr>
            <w:tcW w:type="dxa" w:w="7056"/>
            <w:vAlign w:val="center"/>
            <w:shd w:fill="EAF2F8"/>
          </w:tcPr>
          <w:p>
            <w:r>
              <w:rPr>
                <w:sz w:val="15"/>
              </w:rPr>
              <w:t>RunRatePanel calculates (party/secondary OB + direct-dealer OB) ÷ elapsed months × 12 and labels the result Projected Year-End. Seasonal pacing is not used.</w:t>
            </w:r>
          </w:p>
        </w:tc>
      </w:tr>
      <w:tr>
        <w:tc>
          <w:tcPr>
            <w:tcW w:type="dxa" w:w="1728"/>
            <w:vAlign w:val="center"/>
          </w:tcPr>
          <w:p>
            <w:r>
              <w:rPr>
                <w:sz w:val="15"/>
              </w:rPr>
              <w:t>A5 — Projection basis</w:t>
            </w:r>
          </w:p>
        </w:tc>
        <w:tc>
          <w:tcPr>
            <w:tcW w:type="dxa" w:w="1656"/>
            <w:vAlign w:val="center"/>
          </w:tcPr>
          <w:p>
            <w:r>
              <w:rPr>
                <w:sz w:val="15"/>
              </w:rPr>
              <w:t>Misaligned</w:t>
            </w:r>
          </w:p>
        </w:tc>
        <w:tc>
          <w:tcPr>
            <w:tcW w:type="dxa" w:w="7056"/>
            <w:vAlign w:val="center"/>
          </w:tcPr>
          <w:p>
            <w:r>
              <w:rPr>
                <w:sz w:val="15"/>
              </w:rPr>
              <w:t>The projected numerator includes direct-dealer order booking, while the comparator text calls the plan the annual secondary Business Plan. The mismatch is not explicitly disclosed.</w:t>
            </w:r>
          </w:p>
        </w:tc>
      </w:tr>
      <w:tr>
        <w:tc>
          <w:tcPr>
            <w:tcW w:type="dxa" w:w="1728"/>
            <w:vAlign w:val="center"/>
            <w:shd w:fill="EAF2F8"/>
          </w:tcPr>
          <w:p>
            <w:r>
              <w:rPr>
                <w:sz w:val="15"/>
              </w:rPr>
              <w:t>A6 — Total Target</w:t>
            </w:r>
          </w:p>
        </w:tc>
        <w:tc>
          <w:tcPr>
            <w:tcW w:type="dxa" w:w="1656"/>
            <w:vAlign w:val="center"/>
            <w:shd w:fill="EAF2F8"/>
          </w:tcPr>
          <w:p>
            <w:r>
              <w:rPr>
                <w:sz w:val="15"/>
              </w:rPr>
              <w:t>Fixed/stated</w:t>
            </w:r>
          </w:p>
        </w:tc>
        <w:tc>
          <w:tcPr>
            <w:tcW w:type="dxa" w:w="7056"/>
            <w:vAlign w:val="center"/>
            <w:shd w:fill="EAF2F8"/>
          </w:tcPr>
          <w:p>
            <w:r>
              <w:rPr>
                <w:sz w:val="15"/>
              </w:rPr>
              <w:t>The page labels Primary Target as Direct Dealer, Secondary Target as Total − Primary, and achievement as (secondary OB + DD OB) ÷ Total Target. The direct-dealer component is booking, not dispatch.</w:t>
            </w:r>
          </w:p>
        </w:tc>
      </w:tr>
      <w:tr>
        <w:tc>
          <w:tcPr>
            <w:tcW w:type="dxa" w:w="1728"/>
            <w:vAlign w:val="center"/>
          </w:tcPr>
          <w:p>
            <w:r>
              <w:rPr>
                <w:sz w:val="15"/>
              </w:rPr>
              <w:t>A7 — Narrative tokens</w:t>
            </w:r>
          </w:p>
        </w:tc>
        <w:tc>
          <w:tcPr>
            <w:tcW w:type="dxa" w:w="1656"/>
            <w:vAlign w:val="center"/>
          </w:tcPr>
          <w:p>
            <w:r>
              <w:rPr>
                <w:sz w:val="15"/>
              </w:rPr>
              <w:t>Not reproducible</w:t>
            </w:r>
          </w:p>
        </w:tc>
        <w:tc>
          <w:tcPr>
            <w:tcW w:type="dxa" w:w="7056"/>
            <w:vAlign w:val="center"/>
          </w:tcPr>
          <w:p>
            <w:r>
              <w:rPr>
                <w:sz w:val="15"/>
              </w:rPr>
              <w:t>Current prompts require citations such as performance.totalOB and fields exist for identity.workingDays and identity.fy. No persisted report body or authenticated live response was available, so the exact five historical unmatched tokens cannot be named. The three listed paths are valid current payload paths; the earlier failure was likely report/payload-version drift rather than absent current fields.</w:t>
            </w:r>
          </w:p>
        </w:tc>
      </w:tr>
      <w:tr>
        <w:tc>
          <w:tcPr>
            <w:tcW w:type="dxa" w:w="1728"/>
            <w:vAlign w:val="center"/>
            <w:shd w:fill="EAF2F8"/>
          </w:tcPr>
          <w:p>
            <w:r>
              <w:rPr>
                <w:sz w:val="15"/>
              </w:rPr>
              <w:t>A8 — Segment vocabulary</w:t>
            </w:r>
          </w:p>
        </w:tc>
        <w:tc>
          <w:tcPr>
            <w:tcW w:type="dxa" w:w="1656"/>
            <w:vAlign w:val="center"/>
            <w:shd w:fill="EAF2F8"/>
          </w:tcPr>
          <w:p>
            <w:r>
              <w:rPr>
                <w:sz w:val="15"/>
              </w:rPr>
              <w:t>Correctly stated</w:t>
            </w:r>
          </w:p>
        </w:tc>
        <w:tc>
          <w:tcPr>
            <w:tcW w:type="dxa" w:w="7056"/>
            <w:vAlign w:val="center"/>
            <w:shd w:fill="EAF2F8"/>
          </w:tcPr>
          <w:p>
            <w:r>
              <w:rPr>
                <w:sz w:val="15"/>
              </w:rPr>
              <w:t>Segment Spread is explicitly sourced to secondary_register_line, NET = net_amount/Sub Total, segment = brand_canon. This explains why CRM/product-line vocabulary differs from six-master Product pages.</w:t>
            </w:r>
          </w:p>
        </w:tc>
      </w:tr>
      <w:tr>
        <w:tc>
          <w:tcPr>
            <w:tcW w:type="dxa" w:w="1728"/>
            <w:vAlign w:val="center"/>
          </w:tcPr>
          <w:p>
            <w:r>
              <w:rPr>
                <w:sz w:val="15"/>
              </w:rPr>
              <w:t>A9 — Export</w:t>
            </w:r>
          </w:p>
        </w:tc>
        <w:tc>
          <w:tcPr>
            <w:tcW w:type="dxa" w:w="1656"/>
            <w:vAlign w:val="center"/>
          </w:tcPr>
          <w:p>
            <w:r>
              <w:rPr>
                <w:sz w:val="15"/>
              </w:rPr>
              <w:t>Applied, with UI count error</w:t>
            </w:r>
          </w:p>
        </w:tc>
        <w:tc>
          <w:tcPr>
            <w:tcW w:type="dxa" w:w="7056"/>
            <w:vAlign w:val="center"/>
          </w:tcPr>
          <w:p>
            <w:r>
              <w:rPr>
                <w:sz w:val="15"/>
              </w:rPr>
              <w:t>Current workbook has 11 sheets: Overview; Performance; Targets; Coverage and Visits; Cost; Segment Spread; Reconciliation; Dormant Retailers; Profile; Working detail; Info. UI text still says ten auditable sheets. Row counts are selection-dependent and could not be downloaded without an authenticated member/head request; therefore the prior 163/65 counts cannot be responsibly restated as universal current counts.</w:t>
            </w:r>
          </w:p>
        </w:tc>
      </w:tr>
      <w:tr>
        <w:tc>
          <w:tcPr>
            <w:tcW w:type="dxa" w:w="1728"/>
            <w:vAlign w:val="center"/>
            <w:shd w:fill="EAF2F8"/>
          </w:tcPr>
          <w:p>
            <w:r>
              <w:rPr>
                <w:sz w:val="15"/>
              </w:rPr>
              <w:t>A10 — Monthly message</w:t>
            </w:r>
          </w:p>
        </w:tc>
        <w:tc>
          <w:tcPr>
            <w:tcW w:type="dxa" w:w="1656"/>
            <w:vAlign w:val="center"/>
            <w:shd w:fill="EAF2F8"/>
          </w:tcPr>
          <w:p>
            <w:r>
              <w:rPr>
                <w:sz w:val="15"/>
              </w:rPr>
              <w:t>Partly stale</w:t>
            </w:r>
          </w:p>
        </w:tc>
        <w:tc>
          <w:tcPr>
            <w:tcW w:type="dxa" w:w="7056"/>
            <w:vAlign w:val="center"/>
            <w:shd w:fill="EAF2F8"/>
          </w:tcPr>
          <w:p>
            <w:r>
              <w:rPr>
                <w:sz w:val="15"/>
              </w:rPr>
              <w:t>Headline KPI request remains FY-only and does not receive the selected period. Coverage/member-month details and export do accept selected months backed by secondary_head_month. The old blanket message is stale for export/detail but still true for headline KPIs.</w:t>
            </w:r>
          </w:p>
        </w:tc>
      </w:tr>
    </w:tbl>
    <w:p>
      <w:pPr>
        <w:spacing w:after="0"/>
      </w:pPr>
    </w:p>
    <w:p>
      <w:r>
        <w:rPr>
          <w:b/>
        </w:rPr>
        <w:t xml:space="preserve">Source: </w:t>
      </w:r>
      <w:r>
        <w:t>Frontend SalesDeepDive.tsx; API routes/mgmt.ts; deepDiveExport tests; secondary_head_month; HR/SFA and member working-sheet loaders.</w:t>
      </w:r>
    </w:p>
    <w:p>
      <w:pPr>
        <w:pStyle w:val="Heading1"/>
      </w:pPr>
      <w:r>
        <w:t>Section B — Distributor Deep Dive</w:t>
      </w:r>
    </w:p>
    <w:p>
      <w:pPr>
        <w:pStyle w:val="Heading2"/>
      </w:pPr>
      <w:r>
        <w:t>B1. Current page inventory</w:t>
      </w:r>
    </w:p>
    <w:p>
      <w:pPr>
        <w:pStyle w:val="ListBullet"/>
      </w:pPr>
      <w:r>
        <w:t>Filters and directory: FY, period, region/state, distributor, and state head.</w:t>
      </w:r>
    </w:p>
    <w:p>
      <w:pPr>
        <w:pStyle w:val="ListBullet"/>
      </w:pPr>
      <w:r>
        <w:t>Cross-head directory: distributor, state(s), head(s), retailers, active, Order Booking, Sale.</w:t>
      </w:r>
    </w:p>
    <w:p>
      <w:pPr>
        <w:pStyle w:val="ListBullet"/>
      </w:pPr>
      <w:r>
        <w:t>Summary: party OB through distributors, direct-dealer OB, total/active retailers, distributor count.</w:t>
      </w:r>
    </w:p>
    <w:p>
      <w:pPr>
        <w:pStyle w:val="ListBullet"/>
      </w:pPr>
      <w:r>
        <w:t>D5 Territory Whitespace, D6 Customer Concentration, D7 Visit Capacity.</w:t>
      </w:r>
    </w:p>
    <w:p>
      <w:pPr>
        <w:pStyle w:val="ListBullet"/>
      </w:pPr>
      <w:r>
        <w:t>Distributor overview: retailer/active counts, order booking, sale, visits, party share, confidence.</w:t>
      </w:r>
    </w:p>
    <w:p>
      <w:pPr>
        <w:pStyle w:val="ListBullet"/>
      </w:pPr>
      <w:r>
        <w:t>Expanded flow/pending: primary dispatch, retailer OB, primary OB, dispatched, pending, fill, recency/frequency and YoY dispatch.</w:t>
      </w:r>
    </w:p>
    <w:p>
      <w:pPr>
        <w:pStyle w:val="ListBullet"/>
      </w:pPr>
      <w:r>
        <w:t>D3 Product Mix: six-master headline, brand_canon product lines, breadth, HHI, legacy evidence, top lines and whitespace/peer hints.</w:t>
      </w:r>
    </w:p>
    <w:p>
      <w:pPr>
        <w:pStyle w:val="ListBullet"/>
      </w:pPr>
      <w:r>
        <w:t>Retailer detail, shared distributors, direct dealers, no distributor assigned, mapping quality, by-state coverage, possible duplicate names and member-level unassigned analysis.</w:t>
      </w:r>
    </w:p>
    <w:p>
      <w:r>
        <w:rPr>
          <w:b/>
        </w:rPr>
        <w:t xml:space="preserve">Source: </w:t>
      </w:r>
      <w:r>
        <w:t>Member working sheets for retailer OB/sale/visits and mapping; customer_master for confidence; sale_line_current for primary dispatch; primary_order_lines for primary booking; secondary_register_line for D3 NET/product-line evidence.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728"/>
            <w:shd w:fill="1F4E78"/>
            <w:vAlign w:val="center"/>
          </w:tcPr>
          <w:p>
            <w:r>
              <w:rPr>
                <w:b/>
                <w:color w:val="FFFFFF"/>
                <w:sz w:val="16"/>
              </w:rPr>
              <w:t>Item</w:t>
            </w:r>
          </w:p>
        </w:tc>
        <w:tc>
          <w:tcPr>
            <w:tcW w:type="dxa" w:w="1944"/>
            <w:shd w:fill="1F4E78"/>
            <w:vAlign w:val="center"/>
          </w:tcPr>
          <w:p>
            <w:r>
              <w:rPr>
                <w:b/>
                <w:color w:val="FFFFFF"/>
                <w:sz w:val="16"/>
              </w:rPr>
              <w:t>Status</w:t>
            </w:r>
          </w:p>
        </w:tc>
        <w:tc>
          <w:tcPr>
            <w:tcW w:type="dxa" w:w="6912"/>
            <w:shd w:fill="1F4E78"/>
            <w:vAlign w:val="center"/>
          </w:tcPr>
          <w:p>
            <w:r>
              <w:rPr>
                <w:b/>
                <w:color w:val="FFFFFF"/>
                <w:sz w:val="16"/>
              </w:rPr>
              <w:t>Finding</w:t>
            </w:r>
          </w:p>
        </w:tc>
      </w:tr>
      <w:tr>
        <w:tc>
          <w:tcPr>
            <w:tcW w:type="dxa" w:w="1728"/>
            <w:vAlign w:val="center"/>
          </w:tcPr>
          <w:p>
            <w:r>
              <w:rPr>
                <w:sz w:val="15"/>
              </w:rPr>
              <w:t>B2 — Multiplier</w:t>
            </w:r>
          </w:p>
        </w:tc>
        <w:tc>
          <w:tcPr>
            <w:tcW w:type="dxa" w:w="1944"/>
            <w:vAlign w:val="center"/>
          </w:tcPr>
          <w:p>
            <w:r>
              <w:rPr>
                <w:sz w:val="15"/>
              </w:rPr>
              <w:t>Source/tests fixed; production unverified</w:t>
            </w:r>
          </w:p>
        </w:tc>
        <w:tc>
          <w:tcPr>
            <w:tcW w:type="dxa" w:w="6912"/>
            <w:vAlign w:val="center"/>
          </w:tcPr>
          <w:p>
            <w:r>
              <w:rPr>
                <w:sz w:val="15"/>
              </w:rPr>
              <w:t>Former sl.qty failure path is absent. Multipliers feed both sides; own baseline segment mix forms the deflator when category coverage is at least 50%. realCurrent = current ÷ deflator; realGrowth = realCurrent − baseline. Targeted tests passed and assert 1.2 deflator and real values. Authenticated production execution/log evidence was unavailable.</w:t>
            </w:r>
          </w:p>
        </w:tc>
      </w:tr>
      <w:tr>
        <w:tc>
          <w:tcPr>
            <w:tcW w:type="dxa" w:w="1728"/>
            <w:vAlign w:val="center"/>
            <w:shd w:fill="EAF2F8"/>
          </w:tcPr>
          <w:p>
            <w:r>
              <w:rPr>
                <w:sz w:val="15"/>
              </w:rPr>
              <w:t>B3 — D3 segments</w:t>
            </w:r>
          </w:p>
        </w:tc>
        <w:tc>
          <w:tcPr>
            <w:tcW w:type="dxa" w:w="1944"/>
            <w:vAlign w:val="center"/>
            <w:shd w:fill="EAF2F8"/>
          </w:tcPr>
          <w:p>
            <w:r>
              <w:rPr>
                <w:sz w:val="15"/>
              </w:rPr>
              <w:t>Correct</w:t>
            </w:r>
          </w:p>
        </w:tc>
        <w:tc>
          <w:tcPr>
            <w:tcW w:type="dxa" w:w="6912"/>
            <w:vAlign w:val="center"/>
            <w:shd w:fill="EAF2F8"/>
          </w:tcPr>
          <w:p>
            <w:r>
              <w:rPr>
                <w:sz w:val="15"/>
              </w:rPr>
              <w:t>Headline uses PLUMBING, PTMT, C P, SANITARYWARE, SINK and HARDWARE. Expandable evidence retains legacy source segments and brand_canon, with source disclosure.</w:t>
            </w:r>
          </w:p>
        </w:tc>
      </w:tr>
      <w:tr>
        <w:tc>
          <w:tcPr>
            <w:tcW w:type="dxa" w:w="1728"/>
            <w:vAlign w:val="center"/>
          </w:tcPr>
          <w:p>
            <w:r>
              <w:rPr>
                <w:sz w:val="15"/>
              </w:rPr>
              <w:t>B4 — Export</w:t>
            </w:r>
          </w:p>
        </w:tc>
        <w:tc>
          <w:tcPr>
            <w:tcW w:type="dxa" w:w="1944"/>
            <w:vAlign w:val="center"/>
          </w:tcPr>
          <w:p>
            <w:r>
              <w:rPr>
                <w:sz w:val="15"/>
              </w:rPr>
              <w:t>Missing</w:t>
            </w:r>
          </w:p>
        </w:tc>
        <w:tc>
          <w:tcPr>
            <w:tcW w:type="dxa" w:w="6912"/>
            <w:vAlign w:val="center"/>
          </w:tcPr>
          <w:p>
            <w:r>
              <w:rPr>
                <w:sz w:val="15"/>
              </w:rPr>
              <w:t>No Distributor Deep Dive download control or export endpoint exists.</w:t>
            </w:r>
          </w:p>
        </w:tc>
      </w:tr>
      <w:tr>
        <w:tc>
          <w:tcPr>
            <w:tcW w:type="dxa" w:w="1728"/>
            <w:vAlign w:val="center"/>
            <w:shd w:fill="EAF2F8"/>
          </w:tcPr>
          <w:p>
            <w:r>
              <w:rPr>
                <w:sz w:val="15"/>
              </w:rPr>
              <w:t>B5 — Scope</w:t>
            </w:r>
          </w:p>
        </w:tc>
        <w:tc>
          <w:tcPr>
            <w:tcW w:type="dxa" w:w="1944"/>
            <w:vAlign w:val="center"/>
            <w:shd w:fill="EAF2F8"/>
          </w:tcPr>
          <w:p>
            <w:r>
              <w:rPr>
                <w:sz w:val="15"/>
              </w:rPr>
              <w:t>Earlier figures superseded</w:t>
            </w:r>
          </w:p>
        </w:tc>
        <w:tc>
          <w:tcPr>
            <w:tcW w:type="dxa" w:w="6912"/>
            <w:vAlign w:val="center"/>
            <w:shd w:fill="EAF2F8"/>
          </w:tcPr>
          <w:p>
            <w:r>
              <w:rPr>
                <w:sz w:val="15"/>
              </w:rPr>
              <w:t>Current read-only directory load returned 191 distributors, 155 members and 23 states across 12 heads; all heads were served from stale snapshots. The 269-row distributor_identity table is a broader identity/master universe. The page requires FY working-sheet/roster attribution, so inactive, unconfigured, unassigned or absent entities need not appear.</w:t>
            </w:r>
          </w:p>
        </w:tc>
      </w:tr>
      <w:tr>
        <w:tc>
          <w:tcPr>
            <w:tcW w:type="dxa" w:w="1728"/>
            <w:vAlign w:val="center"/>
          </w:tcPr>
          <w:p>
            <w:r>
              <w:rPr>
                <w:sz w:val="15"/>
              </w:rPr>
              <w:t>B6 — Booking vs dispatch</w:t>
            </w:r>
          </w:p>
        </w:tc>
        <w:tc>
          <w:tcPr>
            <w:tcW w:type="dxa" w:w="1944"/>
            <w:vAlign w:val="center"/>
          </w:tcPr>
          <w:p>
            <w:r>
              <w:rPr>
                <w:sz w:val="15"/>
              </w:rPr>
              <w:t>Mostly clear</w:t>
            </w:r>
          </w:p>
        </w:tc>
        <w:tc>
          <w:tcPr>
            <w:tcW w:type="dxa" w:w="6912"/>
            <w:vAlign w:val="center"/>
          </w:tcPr>
          <w:p>
            <w:r>
              <w:rPr>
                <w:sz w:val="15"/>
              </w:rPr>
              <w:t>Member-sheet party/distributor OB, primary_order_lines primary OB, and secondary_register_line D3 NET are booking measures. sale_line_current drives Primary In/Dispatched, recency, frequency and YoY dispatch. Retailer Sale comes from the member sheet. Pending = primary OB − primary dispatch; fill = dispatch ÷ primary OB; flow gap = dispatch − retailer OB.</w:t>
            </w:r>
          </w:p>
        </w:tc>
      </w:tr>
    </w:tbl>
    <w:p>
      <w:pPr>
        <w:spacing w:after="0"/>
      </w:pPr>
    </w:p>
    <w:p>
      <w:pPr>
        <w:pStyle w:val="Heading1"/>
      </w:pPr>
      <w:r>
        <w:t>Section C — SKU Deep Dive</w:t>
      </w:r>
    </w:p>
    <w:p>
      <w:pPr>
        <w:pStyle w:val="Heading2"/>
      </w:pPr>
      <w:r>
        <w:t>C1. Current page inventory</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448"/>
            <w:shd w:fill="1F4E78"/>
            <w:vAlign w:val="center"/>
          </w:tcPr>
          <w:p>
            <w:r>
              <w:rPr>
                <w:b/>
                <w:color w:val="FFFFFF"/>
                <w:sz w:val="16"/>
              </w:rPr>
              <w:t>Section</w:t>
            </w:r>
          </w:p>
        </w:tc>
        <w:tc>
          <w:tcPr>
            <w:tcW w:type="dxa" w:w="7848"/>
            <w:shd w:fill="1F4E78"/>
            <w:vAlign w:val="center"/>
          </w:tcPr>
          <w:p>
            <w:r>
              <w:rPr>
                <w:b/>
                <w:color w:val="FFFFFF"/>
                <w:sz w:val="16"/>
              </w:rPr>
              <w:t>Fields / source</w:t>
            </w:r>
          </w:p>
        </w:tc>
      </w:tr>
      <w:tr>
        <w:tc>
          <w:tcPr>
            <w:tcW w:type="dxa" w:w="2448"/>
            <w:vAlign w:val="center"/>
          </w:tcPr>
          <w:p>
            <w:r>
              <w:rPr>
                <w:sz w:val="15"/>
              </w:rPr>
              <w:t>Overview</w:t>
            </w:r>
          </w:p>
        </w:tc>
        <w:tc>
          <w:tcPr>
            <w:tcW w:type="dxa" w:w="7848"/>
            <w:vAlign w:val="center"/>
          </w:tcPr>
          <w:p>
            <w:r>
              <w:rPr>
                <w:sz w:val="15"/>
              </w:rPr>
              <w:t>Segment, booked-order NET/share, booked qty, bought/unbought codes, gap-code NET, breadth. Non-retailer source: sale_line_current; retailer source: secondary_sku_line.</w:t>
            </w:r>
          </w:p>
        </w:tc>
      </w:tr>
      <w:tr>
        <w:tc>
          <w:tcPr>
            <w:tcW w:type="dxa" w:w="2448"/>
            <w:vAlign w:val="center"/>
            <w:shd w:fill="EAF2F8"/>
          </w:tcPr>
          <w:p>
            <w:r>
              <w:rPr>
                <w:sz w:val="15"/>
              </w:rPr>
              <w:t>Drill</w:t>
            </w:r>
          </w:p>
        </w:tc>
        <w:tc>
          <w:tcPr>
            <w:tcW w:type="dxa" w:w="7848"/>
            <w:vAlign w:val="center"/>
            <w:shd w:fill="EAF2F8"/>
          </w:tcPr>
          <w:p>
            <w:r>
              <w:rPr>
                <w:sz w:val="15"/>
              </w:rPr>
              <w:t>Code, item, segment, booked-order NET/share, booked qty, months active.</w:t>
            </w:r>
          </w:p>
        </w:tc>
      </w:tr>
      <w:tr>
        <w:tc>
          <w:tcPr>
            <w:tcW w:type="dxa" w:w="2448"/>
            <w:vAlign w:val="center"/>
          </w:tcPr>
          <w:p>
            <w:r>
              <w:rPr>
                <w:sz w:val="15"/>
              </w:rPr>
              <w:t>Review</w:t>
            </w:r>
          </w:p>
        </w:tc>
        <w:tc>
          <w:tcPr>
            <w:tcW w:type="dxa" w:w="7848"/>
            <w:vAlign w:val="center"/>
          </w:tcPr>
          <w:p>
            <w:r>
              <w:rPr>
                <w:sz w:val="15"/>
              </w:rPr>
              <w:t>Territory gap codes, historical same-period NET, breadth, provisional contribution, prior FY.</w:t>
            </w:r>
          </w:p>
        </w:tc>
      </w:tr>
      <w:tr>
        <w:tc>
          <w:tcPr>
            <w:tcW w:type="dxa" w:w="2448"/>
            <w:vAlign w:val="center"/>
            <w:shd w:fill="EAF2F8"/>
          </w:tcPr>
          <w:p>
            <w:r>
              <w:rPr>
                <w:sz w:val="15"/>
              </w:rPr>
              <w:t>Push</w:t>
            </w:r>
          </w:p>
        </w:tc>
        <w:tc>
          <w:tcPr>
            <w:tcW w:type="dxa" w:w="7848"/>
            <w:vAlign w:val="center"/>
            <w:shd w:fill="EAF2F8"/>
          </w:tcPr>
          <w:p>
            <w:r>
              <w:rPr>
                <w:sz w:val="15"/>
              </w:rPr>
              <w:t>Per-distributor peer/cohort recommendations.</w:t>
            </w:r>
          </w:p>
        </w:tc>
      </w:tr>
      <w:tr>
        <w:tc>
          <w:tcPr>
            <w:tcW w:type="dxa" w:w="2448"/>
            <w:vAlign w:val="center"/>
          </w:tcPr>
          <w:p>
            <w:r>
              <w:rPr>
                <w:sz w:val="15"/>
              </w:rPr>
              <w:t>Trends / Discounts / Timing / Movement</w:t>
            </w:r>
          </w:p>
        </w:tc>
        <w:tc>
          <w:tcPr>
            <w:tcW w:type="dxa" w:w="7848"/>
            <w:vAlign w:val="center"/>
          </w:tcPr>
          <w:p>
            <w:r>
              <w:rPr>
                <w:sz w:val="15"/>
              </w:rPr>
              <w:t>Monthly and behavioral SKU views from SKU API services.</w:t>
            </w:r>
          </w:p>
        </w:tc>
      </w:tr>
      <w:tr>
        <w:tc>
          <w:tcPr>
            <w:tcW w:type="dxa" w:w="2448"/>
            <w:vAlign w:val="center"/>
            <w:shd w:fill="EAF2F8"/>
          </w:tcPr>
          <w:p>
            <w:r>
              <w:rPr>
                <w:sz w:val="15"/>
              </w:rPr>
              <w:t>Volume Decline / Price Shrinkers</w:t>
            </w:r>
          </w:p>
        </w:tc>
        <w:tc>
          <w:tcPr>
            <w:tcW w:type="dxa" w:w="7848"/>
            <w:vAlign w:val="center"/>
            <w:shd w:fill="EAF2F8"/>
          </w:tcPr>
          <w:p>
            <w:r>
              <w:rPr>
                <w:sz w:val="15"/>
              </w:rPr>
              <w:t>Separate analytical sections and exports; MRP authority used where required.</w:t>
            </w:r>
          </w:p>
        </w:tc>
      </w:tr>
      <w:tr>
        <w:tc>
          <w:tcPr>
            <w:tcW w:type="dxa" w:w="2448"/>
            <w:vAlign w:val="center"/>
          </w:tcPr>
          <w:p>
            <w:r>
              <w:rPr>
                <w:sz w:val="15"/>
              </w:rPr>
              <w:t>Filters</w:t>
            </w:r>
          </w:p>
        </w:tc>
        <w:tc>
          <w:tcPr>
            <w:tcW w:type="dxa" w:w="7848"/>
            <w:vAlign w:val="center"/>
          </w:tcPr>
          <w:p>
            <w:r>
              <w:rPr>
                <w:sz w:val="15"/>
              </w:rPr>
              <w:t>FY, period, level: distributor/direct dealer/retailer/project, head scope and entity filters.</w:t>
            </w:r>
          </w:p>
        </w:tc>
      </w:tr>
    </w:tbl>
    <w:p>
      <w:pPr>
        <w:spacing w:after="0"/>
      </w:pP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00"/>
            <w:shd w:fill="1F4E78"/>
            <w:vAlign w:val="center"/>
          </w:tcPr>
          <w:p>
            <w:r>
              <w:rPr>
                <w:b/>
                <w:color w:val="FFFFFF"/>
                <w:sz w:val="16"/>
              </w:rPr>
              <w:t>Item</w:t>
            </w:r>
          </w:p>
        </w:tc>
        <w:tc>
          <w:tcPr>
            <w:tcW w:type="dxa" w:w="1872"/>
            <w:shd w:fill="1F4E78"/>
            <w:vAlign w:val="center"/>
          </w:tcPr>
          <w:p>
            <w:r>
              <w:rPr>
                <w:b/>
                <w:color w:val="FFFFFF"/>
                <w:sz w:val="16"/>
              </w:rPr>
              <w:t>Status</w:t>
            </w:r>
          </w:p>
        </w:tc>
        <w:tc>
          <w:tcPr>
            <w:tcW w:type="dxa" w:w="6912"/>
            <w:shd w:fill="1F4E78"/>
            <w:vAlign w:val="center"/>
          </w:tcPr>
          <w:p>
            <w:r>
              <w:rPr>
                <w:b/>
                <w:color w:val="FFFFFF"/>
                <w:sz w:val="16"/>
              </w:rPr>
              <w:t>Finding</w:t>
            </w:r>
          </w:p>
        </w:tc>
      </w:tr>
      <w:tr>
        <w:tc>
          <w:tcPr>
            <w:tcW w:type="dxa" w:w="1800"/>
            <w:vAlign w:val="center"/>
          </w:tcPr>
          <w:p>
            <w:r>
              <w:rPr>
                <w:sz w:val="15"/>
              </w:rPr>
              <w:t>C2 — 17 grouping</w:t>
            </w:r>
          </w:p>
        </w:tc>
        <w:tc>
          <w:tcPr>
            <w:tcW w:type="dxa" w:w="1872"/>
            <w:vAlign w:val="center"/>
          </w:tcPr>
          <w:p>
            <w:r>
              <w:rPr>
                <w:sz w:val="15"/>
              </w:rPr>
              <w:t>Confirmed old grouping</w:t>
            </w:r>
          </w:p>
        </w:tc>
        <w:tc>
          <w:tcPr>
            <w:tcW w:type="dxa" w:w="6912"/>
            <w:vAlign w:val="center"/>
          </w:tcPr>
          <w:p>
            <w:r>
              <w:rPr>
                <w:sz w:val="15"/>
              </w:rPr>
              <w:t>Overview still states 17 canonical segments: WATER TANK, AGRI, UPVC, CPVC, SWR, PPR, HDPE, Garden Pipe, COLUMN, Corrugated Pipe, PTMT/Faucets, CISTERN, CP/Chrome-Plated, Sink, Sanitaryware, Connection/Waste, Hardware. Composite also exists in current primary data as an unmapped 18th source value.</w:t>
            </w:r>
          </w:p>
        </w:tc>
      </w:tr>
      <w:tr>
        <w:tc>
          <w:tcPr>
            <w:tcW w:type="dxa" w:w="1800"/>
            <w:vAlign w:val="center"/>
            <w:shd w:fill="EAF2F8"/>
          </w:tcPr>
          <w:p>
            <w:r>
              <w:rPr>
                <w:sz w:val="15"/>
              </w:rPr>
              <w:t>C2 — Six-master effect</w:t>
            </w:r>
          </w:p>
        </w:tc>
        <w:tc>
          <w:tcPr>
            <w:tcW w:type="dxa" w:w="1872"/>
            <w:vAlign w:val="center"/>
            <w:shd w:fill="EAF2F8"/>
          </w:tcPr>
          <w:p>
            <w:r>
              <w:rPr>
                <w:sz w:val="15"/>
              </w:rPr>
              <w:t>Quantified in production</w:t>
            </w:r>
          </w:p>
        </w:tc>
        <w:tc>
          <w:tcPr>
            <w:tcW w:type="dxa" w:w="6912"/>
            <w:vAlign w:val="center"/>
            <w:shd w:fill="EAF2F8"/>
          </w:tcPr>
          <w:p>
            <w:r>
              <w:rPr>
                <w:sz w:val="15"/>
              </w:rPr>
              <w:t>Rows would consolidate to PLUMBING ₹46.90 Cr; PTMT ₹43.47 Cr; C P ₹34.07 Cr; SANITARYWARE ₹7.10 Cr; SINK ₹6.19 Cr; HARDWARE ₹0.89 Cr; Unmapped ₹0.02 Cr for FY2026-27 production. Total remains ₹138.63 Cr. Segment shares, breadth, unbought/gap values, rankings, Review/Push groups, trends, discounts, movement and export rows would shift; code-level quantities and values would not.</w:t>
            </w:r>
          </w:p>
        </w:tc>
      </w:tr>
      <w:tr>
        <w:tc>
          <w:tcPr>
            <w:tcW w:type="dxa" w:w="1800"/>
            <w:vAlign w:val="center"/>
          </w:tcPr>
          <w:p>
            <w:r>
              <w:rPr>
                <w:sz w:val="15"/>
              </w:rPr>
              <w:t>C2 — Development blocker</w:t>
            </w:r>
          </w:p>
        </w:tc>
        <w:tc>
          <w:tcPr>
            <w:tcW w:type="dxa" w:w="1872"/>
            <w:vAlign w:val="center"/>
          </w:tcPr>
          <w:p>
            <w:r>
              <w:rPr>
                <w:sz w:val="15"/>
              </w:rPr>
              <w:t>Confirmed</w:t>
            </w:r>
          </w:p>
        </w:tc>
        <w:tc>
          <w:tcPr>
            <w:tcW w:type="dxa" w:w="6912"/>
            <w:vAlign w:val="center"/>
          </w:tcPr>
          <w:p>
            <w:r>
              <w:rPr>
                <w:sz w:val="15"/>
              </w:rPr>
              <w:t>Development registry rows have no master_category values, so the same join currently sends the whole ₹138.73 Cr development total to Unmapped.</w:t>
            </w:r>
          </w:p>
        </w:tc>
      </w:tr>
      <w:tr>
        <w:tc>
          <w:tcPr>
            <w:tcW w:type="dxa" w:w="1800"/>
            <w:vAlign w:val="center"/>
            <w:shd w:fill="EAF2F8"/>
          </w:tcPr>
          <w:p>
            <w:r>
              <w:rPr>
                <w:sz w:val="15"/>
              </w:rPr>
              <w:t>C3 — August</w:t>
            </w:r>
          </w:p>
        </w:tc>
        <w:tc>
          <w:tcPr>
            <w:tcW w:type="dxa" w:w="1872"/>
            <w:vAlign w:val="center"/>
            <w:shd w:fill="EAF2F8"/>
          </w:tcPr>
          <w:p>
            <w:r>
              <w:rPr>
                <w:sz w:val="15"/>
              </w:rPr>
              <w:t>Level-dependent and held</w:t>
            </w:r>
          </w:p>
        </w:tc>
        <w:tc>
          <w:tcPr>
            <w:tcW w:type="dxa" w:w="6912"/>
            <w:vAlign w:val="center"/>
            <w:shd w:fill="EAF2F8"/>
          </w:tcPr>
          <w:p>
            <w:r>
              <w:rPr>
                <w:sz w:val="15"/>
              </w:rPr>
              <w:t>Development secondary has 8,602 rows and ₹5.64 Cr from the 19-Aug file; production has none. H2 remains open in both. Retailer-level facts/trends/recommendations/export that include Aug resolve to unavailable; primary distributor/direct-dealer views can still show their primary August data. The UI’s banner says provisional but not “partial through 19 August.” September secondary is unavailable.</w:t>
            </w:r>
          </w:p>
        </w:tc>
      </w:tr>
      <w:tr>
        <w:tc>
          <w:tcPr>
            <w:tcW w:type="dxa" w:w="1800"/>
            <w:vAlign w:val="center"/>
          </w:tcPr>
          <w:p>
            <w:r>
              <w:rPr>
                <w:sz w:val="15"/>
              </w:rPr>
              <w:t>C4 — Tank units</w:t>
            </w:r>
          </w:p>
        </w:tc>
        <w:tc>
          <w:tcPr>
            <w:tcW w:type="dxa" w:w="1872"/>
            <w:vAlign w:val="center"/>
          </w:tcPr>
          <w:p>
            <w:r>
              <w:rPr>
                <w:sz w:val="15"/>
              </w:rPr>
              <w:t>Correct main measure; history count drift</w:t>
            </w:r>
          </w:p>
        </w:tc>
        <w:tc>
          <w:tcPr>
            <w:tcW w:type="dxa" w:w="6912"/>
            <w:vAlign w:val="center"/>
          </w:tcPr>
          <w:p>
            <w:r>
              <w:rPr>
                <w:sz w:val="15"/>
              </w:rPr>
              <w:t>SKU facts sum sale_line_current.qty, the resolved pieces field, not qty_ltr. Current databases contain 129 tank rows across all FYs with qty_ltr null; all 129 have qty. FY2026-27 has 28 such rows. The older “46 rows” snapshot is not reproducible from current schema/data, and no raw_litres column remains.</w:t>
            </w:r>
          </w:p>
        </w:tc>
      </w:tr>
      <w:tr>
        <w:tc>
          <w:tcPr>
            <w:tcW w:type="dxa" w:w="1800"/>
            <w:vAlign w:val="center"/>
            <w:shd w:fill="EAF2F8"/>
          </w:tcPr>
          <w:p>
            <w:r>
              <w:rPr>
                <w:sz w:val="15"/>
              </w:rPr>
              <w:t>C5 — Unpriced codes</w:t>
            </w:r>
          </w:p>
        </w:tc>
        <w:tc>
          <w:tcPr>
            <w:tcW w:type="dxa" w:w="1872"/>
            <w:vAlign w:val="center"/>
            <w:shd w:fill="EAF2F8"/>
          </w:tcPr>
          <w:p>
            <w:r>
              <w:rPr>
                <w:sz w:val="15"/>
              </w:rPr>
              <w:t>Retained, status separate</w:t>
            </w:r>
          </w:p>
        </w:tc>
        <w:tc>
          <w:tcPr>
            <w:tcW w:type="dxa" w:w="6912"/>
            <w:vAlign w:val="center"/>
            <w:shd w:fill="EAF2F8"/>
          </w:tcPr>
          <w:p>
            <w:r>
              <w:rPr>
                <w:sz w:val="15"/>
              </w:rPr>
              <w:t>Missing-MRP codes are not excluded from booked-order facts. The main Overview/Drill has no MRP cell to show blank/zero; authority-gap metadata exposes missing pricing separately. Current gap has drifted to 828 codes/₹10.87 Cr dev and 870/₹10.99 Cr prod; all are absent from active authority in the current query, rather than present with null/zero MRP.</w:t>
            </w:r>
          </w:p>
        </w:tc>
      </w:tr>
      <w:tr>
        <w:tc>
          <w:tcPr>
            <w:tcW w:type="dxa" w:w="1800"/>
            <w:vAlign w:val="center"/>
          </w:tcPr>
          <w:p>
            <w:r>
              <w:rPr>
                <w:sz w:val="15"/>
              </w:rPr>
              <w:t>C6 — Export</w:t>
            </w:r>
          </w:p>
        </w:tc>
        <w:tc>
          <w:tcPr>
            <w:tcW w:type="dxa" w:w="1872"/>
            <w:vAlign w:val="center"/>
          </w:tcPr>
          <w:p>
            <w:r>
              <w:rPr>
                <w:sz w:val="15"/>
              </w:rPr>
              <w:t>Exists; three sheets</w:t>
            </w:r>
          </w:p>
        </w:tc>
        <w:tc>
          <w:tcPr>
            <w:tcW w:type="dxa" w:w="6912"/>
            <w:vAlign w:val="center"/>
          </w:tcPr>
          <w:p>
            <w:r>
              <w:rPr>
                <w:sz w:val="15"/>
              </w:rPr>
              <w:t>Workbook sheets are Info, Segments and Codes. It carries FY, level, period, scope and entity filters; code rows cap at 20,000. Retailer holds can return unavailable JSON instead of a workbook.</w:t>
            </w:r>
          </w:p>
        </w:tc>
      </w:tr>
    </w:tbl>
    <w:p>
      <w:pPr>
        <w:spacing w:after="0"/>
      </w:pPr>
    </w:p>
    <w:p>
      <w:r>
        <w:rPr>
          <w:b/>
        </w:rPr>
        <w:t xml:space="preserve">Source: </w:t>
      </w:r>
      <w:r>
        <w:t>SkuPage.tsx and SKU components; routes/sku.ts; skuFacts.ts; catalogue.ts; canonical_item_category_registry; sale_line_current; secondary_sku_line; mrp_synced active generation; resolution_item.</w:t>
      </w:r>
    </w:p>
    <w:p>
      <w:pPr>
        <w:pStyle w:val="Heading1"/>
      </w:pPr>
      <w:r>
        <w:t>Section D — overlap with AI Sales Plan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232"/>
            <w:shd w:fill="1F4E78"/>
            <w:vAlign w:val="center"/>
          </w:tcPr>
          <w:p>
            <w:r>
              <w:rPr>
                <w:b/>
                <w:color w:val="FFFFFF"/>
                <w:sz w:val="16"/>
              </w:rPr>
              <w:t>AI Sales Plan tab</w:t>
            </w:r>
          </w:p>
        </w:tc>
        <w:tc>
          <w:tcPr>
            <w:tcW w:type="dxa" w:w="1800"/>
            <w:shd w:fill="1F4E78"/>
            <w:vAlign w:val="center"/>
          </w:tcPr>
          <w:p>
            <w:r>
              <w:rPr>
                <w:b/>
                <w:color w:val="FFFFFF"/>
                <w:sz w:val="16"/>
              </w:rPr>
              <w:t>Existing coverage</w:t>
            </w:r>
          </w:p>
        </w:tc>
        <w:tc>
          <w:tcPr>
            <w:tcW w:type="dxa" w:w="6552"/>
            <w:shd w:fill="1F4E78"/>
            <w:vAlign w:val="center"/>
          </w:tcPr>
          <w:p>
            <w:r>
              <w:rPr>
                <w:b/>
                <w:color w:val="FFFFFF"/>
                <w:sz w:val="16"/>
              </w:rPr>
              <w:t>Current overlap / conflict</w:t>
            </w:r>
          </w:p>
        </w:tc>
      </w:tr>
      <w:tr>
        <w:tc>
          <w:tcPr>
            <w:tcW w:type="dxa" w:w="2232"/>
            <w:vAlign w:val="center"/>
          </w:tcPr>
          <w:p>
            <w:r>
              <w:rPr>
                <w:sz w:val="15"/>
              </w:rPr>
              <w:t>1. Customer FY25 vs FY26 and stopped SKUs</w:t>
            </w:r>
          </w:p>
        </w:tc>
        <w:tc>
          <w:tcPr>
            <w:tcW w:type="dxa" w:w="1800"/>
            <w:vAlign w:val="center"/>
          </w:tcPr>
          <w:p>
            <w:r>
              <w:rPr>
                <w:sz w:val="15"/>
              </w:rPr>
              <w:t>Partial</w:t>
            </w:r>
          </w:p>
        </w:tc>
        <w:tc>
          <w:tcPr>
            <w:tcW w:type="dxa" w:w="6552"/>
            <w:vAlign w:val="center"/>
          </w:tcPr>
          <w:p>
            <w:r>
              <w:rPr>
                <w:sz w:val="15"/>
              </w:rPr>
              <w:t>Sales Deep Dive has member-level skuSpread and winBack; Distributor has retailer/segment spread. Neither is the requested retailer code-level two-FY stopped-SKU view.</w:t>
            </w:r>
          </w:p>
        </w:tc>
      </w:tr>
      <w:tr>
        <w:tc>
          <w:tcPr>
            <w:tcW w:type="dxa" w:w="2232"/>
            <w:vAlign w:val="center"/>
            <w:shd w:fill="EAF2F8"/>
          </w:tcPr>
          <w:p>
            <w:r>
              <w:rPr>
                <w:sz w:val="15"/>
              </w:rPr>
              <w:t>2. Top-80% missing SKUs</w:t>
            </w:r>
          </w:p>
        </w:tc>
        <w:tc>
          <w:tcPr>
            <w:tcW w:type="dxa" w:w="1800"/>
            <w:vAlign w:val="center"/>
            <w:shd w:fill="EAF2F8"/>
          </w:tcPr>
          <w:p>
            <w:r>
              <w:rPr>
                <w:sz w:val="15"/>
              </w:rPr>
              <w:t>Partial at most</w:t>
            </w:r>
          </w:p>
        </w:tc>
        <w:tc>
          <w:tcPr>
            <w:tcW w:type="dxa" w:w="6552"/>
            <w:vAlign w:val="center"/>
            <w:shd w:fill="EAF2F8"/>
          </w:tcPr>
          <w:p>
            <w:r>
              <w:rPr>
                <w:sz w:val="15"/>
              </w:rPr>
              <w:t>SKU Deep Dive computes unbought codes and gap NET, but not a versioned top-80 portfolio shortlist for one retailer.</w:t>
            </w:r>
          </w:p>
        </w:tc>
      </w:tr>
      <w:tr>
        <w:tc>
          <w:tcPr>
            <w:tcW w:type="dxa" w:w="2232"/>
            <w:vAlign w:val="center"/>
          </w:tcPr>
          <w:p>
            <w:r>
              <w:rPr>
                <w:sz w:val="15"/>
              </w:rPr>
              <w:t>3. Peer SKUs</w:t>
            </w:r>
          </w:p>
        </w:tc>
        <w:tc>
          <w:tcPr>
            <w:tcW w:type="dxa" w:w="1800"/>
            <w:vAlign w:val="center"/>
          </w:tcPr>
          <w:p>
            <w:r>
              <w:rPr>
                <w:sz w:val="15"/>
              </w:rPr>
              <w:t>Partial</w:t>
            </w:r>
          </w:p>
        </w:tc>
        <w:tc>
          <w:tcPr>
            <w:tcW w:type="dxa" w:w="6552"/>
            <w:vAlign w:val="center"/>
          </w:tcPr>
          <w:p>
            <w:r>
              <w:rPr>
                <w:sz w:val="15"/>
              </w:rPr>
              <w:t>Distributor D3 has peer_whitespace and named peer evidence. It is state-head/distributor brand-level logic, not customer-SKU penetration.</w:t>
            </w:r>
          </w:p>
        </w:tc>
      </w:tr>
      <w:tr>
        <w:tc>
          <w:tcPr>
            <w:tcW w:type="dxa" w:w="2232"/>
            <w:vAlign w:val="center"/>
            <w:shd w:fill="EAF2F8"/>
          </w:tcPr>
          <w:p>
            <w:r>
              <w:rPr>
                <w:sz w:val="15"/>
              </w:rPr>
              <w:t>4. Nobody in peer set buys</w:t>
            </w:r>
          </w:p>
        </w:tc>
        <w:tc>
          <w:tcPr>
            <w:tcW w:type="dxa" w:w="1800"/>
            <w:vAlign w:val="center"/>
            <w:shd w:fill="EAF2F8"/>
          </w:tcPr>
          <w:p>
            <w:r>
              <w:rPr>
                <w:sz w:val="15"/>
              </w:rPr>
              <w:t>Partial analogue</w:t>
            </w:r>
          </w:p>
        </w:tc>
        <w:tc>
          <w:tcPr>
            <w:tcW w:type="dxa" w:w="6552"/>
            <w:vAlign w:val="center"/>
            <w:shd w:fill="EAF2F8"/>
          </w:tcPr>
          <w:p>
            <w:r>
              <w:rPr>
                <w:sz w:val="15"/>
              </w:rPr>
              <w:t>D3 range_depth/lost_brand/peer_whitespace ranks range gaps, but no shared “zero peer penetration and sells elsewhere” customer-code measure exists.</w:t>
            </w:r>
          </w:p>
        </w:tc>
      </w:tr>
      <w:tr>
        <w:tc>
          <w:tcPr>
            <w:tcW w:type="dxa" w:w="2232"/>
            <w:vAlign w:val="center"/>
          </w:tcPr>
          <w:p>
            <w:r>
              <w:rPr>
                <w:sz w:val="15"/>
              </w:rPr>
              <w:t>5. Top 80 state vs India</w:t>
            </w:r>
          </w:p>
        </w:tc>
        <w:tc>
          <w:tcPr>
            <w:tcW w:type="dxa" w:w="1800"/>
            <w:vAlign w:val="center"/>
          </w:tcPr>
          <w:p>
            <w:r>
              <w:rPr>
                <w:sz w:val="15"/>
              </w:rPr>
              <w:t>Not present</w:t>
            </w:r>
          </w:p>
        </w:tc>
        <w:tc>
          <w:tcPr>
            <w:tcW w:type="dxa" w:w="6552"/>
            <w:vAlign w:val="center"/>
          </w:tcPr>
          <w:p>
            <w:r>
              <w:rPr>
                <w:sz w:val="15"/>
              </w:rPr>
              <w:t>State filters exist, but no side-by-side state/India rank for the same top-80 snapshot exists.</w:t>
            </w:r>
          </w:p>
        </w:tc>
      </w:tr>
      <w:tr>
        <w:tc>
          <w:tcPr>
            <w:tcW w:type="dxa" w:w="2232"/>
            <w:vAlign w:val="center"/>
            <w:shd w:fill="EAF2F8"/>
          </w:tcPr>
          <w:p>
            <w:r>
              <w:rPr>
                <w:sz w:val="15"/>
              </w:rPr>
              <w:t>6. Rest by national performance</w:t>
            </w:r>
          </w:p>
        </w:tc>
        <w:tc>
          <w:tcPr>
            <w:tcW w:type="dxa" w:w="1800"/>
            <w:vAlign w:val="center"/>
            <w:shd w:fill="EAF2F8"/>
          </w:tcPr>
          <w:p>
            <w:r>
              <w:rPr>
                <w:sz w:val="15"/>
              </w:rPr>
              <w:t>Not present</w:t>
            </w:r>
          </w:p>
        </w:tc>
        <w:tc>
          <w:tcPr>
            <w:tcW w:type="dxa" w:w="6552"/>
            <w:vAlign w:val="center"/>
            <w:shd w:fill="EAF2F8"/>
          </w:tcPr>
          <w:p>
            <w:r>
              <w:rPr>
                <w:sz w:val="15"/>
              </w:rPr>
              <w:t>No long-tail state-vs-India customer prospect tab exists.</w:t>
            </w:r>
          </w:p>
        </w:tc>
      </w:tr>
    </w:tbl>
    <w:p>
      <w:pPr>
        <w:spacing w:after="0"/>
      </w:pPr>
    </w:p>
    <w:p>
      <w:pPr>
        <w:pStyle w:val="Heading2"/>
      </w:pPr>
      <w:r>
        <w:t>D2–D4. Ownership and shared-compute conclusion</w:t>
      </w:r>
    </w:p>
    <w:p>
      <w:pPr>
        <w:pStyle w:val="ListBullet"/>
      </w:pPr>
      <w:r>
        <w:t>Deep dives should remain the factual record of what happened for a member, distributor, or SKU.</w:t>
      </w:r>
    </w:p>
    <w:p>
      <w:pPr>
        <w:pStyle w:val="ListBullet"/>
      </w:pPr>
      <w:r>
        <w:t>AI Sales Plan should own visit-level recommendations and reasons, not duplicate historical fact calculations.</w:t>
      </w:r>
    </w:p>
    <w:p>
      <w:pPr>
        <w:pStyle w:val="ListBullet"/>
      </w:pPr>
      <w:r>
        <w:t>Existing member SKU spread, distributor D3 whitespace, and SKU breadth use different sources, entities and periods. They must not be reused as if they were one measure.</w:t>
      </w:r>
    </w:p>
    <w:p>
      <w:pPr>
        <w:pStyle w:val="ListBullet"/>
      </w:pPr>
      <w:r>
        <w:t>Peer sets, customer-SKU penetration, adjacency classification and the versioned top-80 snapshot should have one shared API computation and source/basis metadata if used by both SKU Deep Dive and AI Sales Plan.</w:t>
      </w:r>
    </w:p>
    <w:p>
      <w:pPr>
        <w:pStyle w:val="ListBullet"/>
      </w:pPr>
      <w:r>
        <w:t>Booking, member-sheet Sale, and primary dispatch must remain separate measures. No common field called Sales should collapse them.</w:t>
      </w:r>
    </w:p>
    <w:tbl>
      <w:tblPr>
        <w:tblStyle w:val="TableGrid"/>
        <w:tblW w:type="auto" w:w="0"/>
        <w:tblLook w:firstColumn="1" w:firstRow="1" w:lastColumn="0" w:lastRow="0" w:noHBand="0" w:noVBand="1" w:val="04A0"/>
      </w:tblPr>
      <w:tblGrid>
        <w:gridCol w:w="10656"/>
      </w:tblGrid>
      <w:tr>
        <w:tc>
          <w:tcPr>
            <w:tcW w:type="dxa" w:w="10656"/>
            <w:shd w:fill="E2F0D9"/>
          </w:tcPr>
          <w:p>
            <w:r>
              <w:rPr>
                <w:b/>
              </w:rPr>
              <w:t xml:space="preserve">No build proposal: </w:t>
            </w:r>
            <w:r>
              <w:t>This document records ownership and shared-compute conclusions requested by D3/D4. It does not define a remediation or implementation plan.</w:t>
            </w:r>
          </w:p>
        </w:tc>
      </w:tr>
    </w:tbl>
    <w:p>
      <w:pPr>
        <w:spacing w:after="0"/>
      </w:pPr>
    </w:p>
    <w:p>
      <w:pPr>
        <w:pStyle w:val="Heading1"/>
      </w:pPr>
      <w:r>
        <w:t>Section E — common checks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088"/>
            <w:shd w:fill="1F4E78"/>
            <w:vAlign w:val="center"/>
          </w:tcPr>
          <w:p>
            <w:r>
              <w:rPr>
                <w:b/>
                <w:color w:val="FFFFFF"/>
                <w:sz w:val="16"/>
              </w:rPr>
              <w:t>Check</w:t>
            </w:r>
          </w:p>
        </w:tc>
        <w:tc>
          <w:tcPr>
            <w:tcW w:type="dxa" w:w="8352"/>
            <w:shd w:fill="1F4E78"/>
            <w:vAlign w:val="center"/>
          </w:tcPr>
          <w:p>
            <w:r>
              <w:rPr>
                <w:b/>
                <w:color w:val="FFFFFF"/>
                <w:sz w:val="16"/>
              </w:rPr>
              <w:t>Finding</w:t>
            </w:r>
          </w:p>
        </w:tc>
      </w:tr>
      <w:tr>
        <w:tc>
          <w:tcPr>
            <w:tcW w:type="dxa" w:w="2088"/>
            <w:vAlign w:val="center"/>
          </w:tcPr>
          <w:p>
            <w:r>
              <w:rPr>
                <w:sz w:val="15"/>
              </w:rPr>
              <w:t>E1 — Zero vs unavailable</w:t>
            </w:r>
          </w:p>
        </w:tc>
        <w:tc>
          <w:tcPr>
            <w:tcW w:type="dxa" w:w="8352"/>
            <w:vAlign w:val="center"/>
          </w:tcPr>
          <w:p>
            <w:r>
              <w:rPr>
                <w:sz w:val="15"/>
              </w:rPr>
              <w:t>Sales: null extras show —, but no universal KPI availability envelope. Distributor: many nulls show --/no data, but zero-denominator state shares and some category coverage fall back to 0. SKU: capability failures are explicit; empty Review can resemble a valid zero-gap result; small positive currency can render ₹0 Cr.</w:t>
            </w:r>
          </w:p>
        </w:tc>
      </w:tr>
      <w:tr>
        <w:tc>
          <w:tcPr>
            <w:tcW w:type="dxa" w:w="2088"/>
            <w:vAlign w:val="center"/>
            <w:shd w:fill="EAF2F8"/>
          </w:tcPr>
          <w:p>
            <w:r>
              <w:rPr>
                <w:sz w:val="15"/>
              </w:rPr>
              <w:t>E2 — Booking labelled Sales</w:t>
            </w:r>
          </w:p>
        </w:tc>
        <w:tc>
          <w:tcPr>
            <w:tcW w:type="dxa" w:w="8352"/>
            <w:vAlign w:val="center"/>
            <w:shd w:fill="EAF2F8"/>
          </w:tcPr>
          <w:p>
            <w:r>
              <w:rPr>
                <w:sz w:val="15"/>
              </w:rPr>
              <w:t>No current regression found. Sales distinguishes OB and Sales Received; Distributor separates Order Booking, member-sheet Sale and primary dispatch; SKU uses Booked order net/Booked qty.</w:t>
            </w:r>
          </w:p>
        </w:tc>
      </w:tr>
      <w:tr>
        <w:tc>
          <w:tcPr>
            <w:tcW w:type="dxa" w:w="2088"/>
            <w:vAlign w:val="center"/>
          </w:tcPr>
          <w:p>
            <w:r>
              <w:rPr>
                <w:sz w:val="15"/>
              </w:rPr>
              <w:t>E3 — Formatting</w:t>
            </w:r>
          </w:p>
        </w:tc>
        <w:tc>
          <w:tcPr>
            <w:tcW w:type="dxa" w:w="8352"/>
            <w:vAlign w:val="center"/>
          </w:tcPr>
          <w:p>
            <w:r>
              <w:rPr>
                <w:sz w:val="15"/>
              </w:rPr>
              <w:t>Sales and Distributor mostly use Indian/compact formatting; raw strings may pass through Sales extras. SKU formatting is generally correct but its Cr-only formatter can display a small positive number as ₹0 Cr.</w:t>
            </w:r>
          </w:p>
        </w:tc>
      </w:tr>
      <w:tr>
        <w:tc>
          <w:tcPr>
            <w:tcW w:type="dxa" w:w="2088"/>
            <w:vAlign w:val="center"/>
            <w:shd w:fill="EAF2F8"/>
          </w:tcPr>
          <w:p>
            <w:r>
              <w:rPr>
                <w:sz w:val="15"/>
              </w:rPr>
              <w:t>E4 — Percentages without sides</w:t>
            </w:r>
          </w:p>
        </w:tc>
        <w:tc>
          <w:tcPr>
            <w:tcW w:type="dxa" w:w="8352"/>
            <w:vAlign w:val="center"/>
            <w:shd w:fill="EAF2F8"/>
          </w:tcPr>
          <w:p>
            <w:r>
              <w:rPr>
                <w:sz w:val="15"/>
              </w:rPr>
              <w:t>Sales achievement/cost/segment percentages generally name sides. Distributor fill/visit/party shares generally show context; HHI-derived effective counts are not fully reconstructible from visible rows. SKU breadth shows bought/ever-sold sides; Overview net share does not explicitly state “of total booked NET.”</w:t>
            </w:r>
          </w:p>
        </w:tc>
      </w:tr>
      <w:tr>
        <w:tc>
          <w:tcPr>
            <w:tcW w:type="dxa" w:w="2088"/>
            <w:vAlign w:val="center"/>
          </w:tcPr>
          <w:p>
            <w:r>
              <w:rPr>
                <w:sz w:val="15"/>
              </w:rPr>
              <w:t>E5 — Provisional months</w:t>
            </w:r>
          </w:p>
        </w:tc>
        <w:tc>
          <w:tcPr>
            <w:tcW w:type="dxa" w:w="8352"/>
            <w:vAlign w:val="center"/>
          </w:tcPr>
          <w:p>
            <w:r>
              <w:rPr>
                <w:sz w:val="15"/>
              </w:rPr>
              <w:t>Sales: no visible provisional banner. Distributor: no June–September banner. SKU: banner exists but does not state August is partial through 19 August or name its source. Open/partial status is therefore inconsistent across the three pages.</w:t>
            </w:r>
          </w:p>
        </w:tc>
      </w:tr>
      <w:tr>
        <w:tc>
          <w:tcPr>
            <w:tcW w:type="dxa" w:w="2088"/>
            <w:vAlign w:val="center"/>
            <w:shd w:fill="EAF2F8"/>
          </w:tcPr>
          <w:p>
            <w:r>
              <w:rPr>
                <w:sz w:val="15"/>
              </w:rPr>
              <w:t>E6 — Held data</w:t>
            </w:r>
          </w:p>
        </w:tc>
        <w:tc>
          <w:tcPr>
            <w:tcW w:type="dxa" w:w="8352"/>
            <w:vAlign w:val="center"/>
            <w:shd w:fill="EAF2F8"/>
          </w:tcPr>
          <w:p>
            <w:r>
              <w:rPr>
                <w:sz w:val="15"/>
              </w:rPr>
              <w:t>H1 is open in dev and prod for PTMT Jan–Apr margin/cost. Main Distributor Deep Dive shows no PTMT margin. SKU endpoints do consult Resolution holds for applicable secondary/analytical requests, but main facts are booked NET/qty rather than PTMT margin; provisional contribution paths require measure-by-measure confirmation. Sales Deep Dive has no direct hold-resolution call, but its inspected costs are dashboard/SFA cost ratios, not a demonstrated margin_fact read. No current page was proven to display the held PTMT margin itself.</w:t>
            </w:r>
          </w:p>
        </w:tc>
      </w:tr>
    </w:tbl>
    <w:p>
      <w:pPr>
        <w:spacing w:after="0"/>
      </w:pPr>
    </w:p>
    <w:p>
      <w:pPr>
        <w:pStyle w:val="Heading1"/>
      </w:pPr>
      <w:r>
        <w:t>Appendix — principal evidence locations</w:t>
      </w:r>
    </w:p>
    <w:p>
      <w:pPr>
        <w:pStyle w:val="ListBullet"/>
      </w:pPr>
      <w:r>
        <w:t>Sales UI: artifacts/prayag/src/components/dashboard/SalesDeepDive.tsx</w:t>
      </w:r>
    </w:p>
    <w:p>
      <w:pPr>
        <w:pStyle w:val="ListBullet"/>
      </w:pPr>
      <w:r>
        <w:t>Distributor UI: artifacts/prayag/src/components/dashboard/DistributorDeepDive.tsx</w:t>
      </w:r>
    </w:p>
    <w:p>
      <w:pPr>
        <w:pStyle w:val="ListBullet"/>
      </w:pPr>
      <w:r>
        <w:t>SKU UI: artifacts/prayag/src/pages/SkuPage.tsx and components/sku/*</w:t>
      </w:r>
    </w:p>
    <w:p>
      <w:pPr>
        <w:pStyle w:val="ListBullet"/>
      </w:pPr>
      <w:r>
        <w:t>Management routes/exports: artifacts/api-server/src/routes/mgmt.ts</w:t>
      </w:r>
    </w:p>
    <w:p>
      <w:pPr>
        <w:pStyle w:val="ListBullet"/>
      </w:pPr>
      <w:r>
        <w:t>Distributor loaders: lib/mgmt/distributorDeepDive.ts, distributorDirectory.ts, distributorTabs.ts, distributorSkuSpread.ts</w:t>
      </w:r>
    </w:p>
    <w:p>
      <w:pPr>
        <w:pStyle w:val="ListBullet"/>
      </w:pPr>
      <w:r>
        <w:t>SKU routes/services: routes/sku.ts, lib/sku/skuFacts.ts, catalogue.ts, skuPushList.ts, skuRecommendations.ts</w:t>
      </w:r>
    </w:p>
    <w:p>
      <w:pPr>
        <w:pStyle w:val="ListBullet"/>
      </w:pPr>
      <w:r>
        <w:t>Hold service: lib/resolution/holdResolver.ts; records in resolution_item</w:t>
      </w:r>
    </w:p>
    <w:p>
      <w:pPr>
        <w:pStyle w:val="ListBullet"/>
      </w:pPr>
      <w:r>
        <w:t>Category authority: canonical_item_category_registry; categoryDisplay.ts; Prompt 68 registry JSON</w:t>
      </w:r>
    </w:p>
    <w:p>
      <w:pPr>
        <w:pStyle w:val="ListBullet"/>
      </w:pPr>
      <w:r>
        <w:t>Database facts: sale_line_current, secondary_sku_line, primary_order_lines, secondary_register_line, mrp_synced, mrp_sync_generation, distributor_identity</w:t>
      </w:r>
    </w:p>
    <w:p>
      <w:pPr>
        <w:pStyle w:val="ListBullet"/>
      </w:pPr>
      <w:r>
        <w:t>Verification: distributorTabs.test.ts and deepDiveExport.test.ts — 78 tests passed on 17 September 2026.</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Prayag Sales Intelligence — Prompt 102 read-only audit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4823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