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Post-Publish Production Verification</w:t>
      </w:r>
    </w:p>
    <w:p>
      <w:pPr>
        <w:jc w:val="center"/>
      </w:pPr>
      <w:r>
        <w:rPr>
          <w:i/>
          <w:color w:val="595959"/>
          <w:sz w:val="20"/>
        </w:rPr>
        <w:t>Prayag Sales Intelligence  |  07 September 2026</w:t>
      </w:r>
    </w:p>
    <w:p>
      <w:pPr>
        <w:jc w:val="center"/>
      </w:pPr>
      <w:r>
        <w:rPr>
          <w:b/>
          <w:color w:val="00703C"/>
          <w:sz w:val="22"/>
        </w:rPr>
        <w:t>FINAL STATUS: ALL REQUESTED PRODUCTION INVARIANTS PASSED</w:t>
      </w:r>
    </w:p>
    <w:p>
      <w:pPr>
        <w:jc w:val="center"/>
      </w:pPr>
      <w:r>
        <w:t>Scope: Read-only post-publish validation. No production changes or additional publish were performed.</w:t>
      </w:r>
    </w:p>
    <w:p>
      <w:pPr>
        <w:pStyle w:val="Heading1"/>
      </w:pPr>
      <w:r>
        <w:t>1. Deployed Commit and Repository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Verified commit</w:t>
            </w:r>
          </w:p>
        </w:tc>
      </w:tr>
      <w:tr>
        <w:tc>
          <w:tcPr>
            <w:tcW w:type="dxa" w:w="5112"/>
            <w:vAlign w:val="center"/>
          </w:tcPr>
          <w:p>
            <w:r>
              <w:t>Publish marker / local HEAD</w:t>
            </w:r>
          </w:p>
        </w:tc>
        <w:tc>
          <w:tcPr>
            <w:tcW w:type="dxa" w:w="5112"/>
            <w:vAlign w:val="center"/>
          </w:tcPr>
          <w:p>
            <w:r>
              <w:t>ab3c0cec0994998c76cf4f9492c3c6acf3be135e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Deployed source tip</w:t>
            </w:r>
          </w:p>
        </w:tc>
        <w:tc>
          <w:tcPr>
            <w:tcW w:type="dxa" w:w="5112"/>
            <w:vAlign w:val="center"/>
          </w:tcPr>
          <w:p>
            <w:r>
              <w:t>67d31e2f0072d87a4a75b42e5583ebb727e2fc45</w:t>
            </w:r>
          </w:p>
        </w:tc>
      </w:tr>
      <w:tr>
        <w:tc>
          <w:tcPr>
            <w:tcW w:type="dxa" w:w="5112"/>
            <w:vAlign w:val="center"/>
          </w:tcPr>
          <w:p>
            <w:r>
              <w:t>origin/main</w:t>
            </w:r>
          </w:p>
        </w:tc>
        <w:tc>
          <w:tcPr>
            <w:tcW w:type="dxa" w:w="5112"/>
            <w:vAlign w:val="center"/>
          </w:tcPr>
          <w:p>
            <w:r>
              <w:t>a32e930d97f9dbead0358466f769ddcf31fc178e</w:t>
            </w:r>
          </w:p>
        </w:tc>
      </w:tr>
    </w:tbl>
    <w:p>
      <w:pPr>
        <w:spacing w:after="20"/>
      </w:pPr>
    </w:p>
    <w:p>
      <w:r>
        <w:t>All three hashes were verified as Git commit objects. The deployed source tip is six commits ahead of origin/main.</w:t>
      </w:r>
    </w:p>
    <w:p>
      <w:r>
        <w:rPr>
          <w:b/>
        </w:rPr>
        <w:t xml:space="preserve">Behavior-changing commit in that range: </w:t>
      </w:r>
      <w:r>
        <w:t>47e8e86 — Implement database migration runner logic</w:t>
      </w:r>
    </w:p>
    <w:p>
      <w:pPr>
        <w:pStyle w:val="ListBullet"/>
      </w:pPr>
      <w:r>
        <w:t>The intended migration code is deployed.</w:t>
      </w:r>
    </w:p>
    <w:p>
      <w:pPr>
        <w:pStyle w:val="ListBullet"/>
      </w:pPr>
      <w:r>
        <w:t>The published code does not currently equal origin/main.</w:t>
      </w:r>
    </w:p>
    <w:p>
      <w:pPr>
        <w:pStyle w:val="ListBullet"/>
      </w:pPr>
      <w:r>
        <w:t>origin/main has not advanced past a32e930d… .</w:t>
      </w:r>
    </w:p>
    <w:p>
      <w:pPr>
        <w:pStyle w:val="Heading1"/>
      </w:pPr>
      <w:r>
        <w:t>2. Migration 089 in Production</w:t>
      </w:r>
    </w:p>
    <w:p>
      <w:pPr>
        <w:spacing w:after="120"/>
        <w:ind w:left="360"/>
      </w:pPr>
      <w:r>
        <w:rPr>
          <w:rFonts w:ascii="Consolas" w:hAnsi="Consolas"/>
          <w:color w:val="373737"/>
          <w:sz w:val="17"/>
        </w:rPr>
        <w:t>Migration: 089_align_scheme_reward_slab_generated_names</w:t>
        <w:br/>
        <w:t>Applied:   2026-09-07 13:51:33.102 UTC</w:t>
        <w:br/>
        <w:t>Log:       [migrations] Applied: 089_align_scheme_reward_slab_generated_names</w:t>
      </w:r>
    </w:p>
    <w:p>
      <w:pPr>
        <w:pStyle w:val="Heading2"/>
      </w:pPr>
      <w:r>
        <w:t>No-op confirmation</w:t>
      </w:r>
    </w:p>
    <w:p>
      <w:r>
        <w:t>Before publishing, production already had the intended sequence and primary-key names, while the historical names were absent. Migration 089 only renames when the historical name exists and the intended name does not exist. Both guarded conditions were therefore false.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Historical name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Intended name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Post-publish result</w:t>
            </w:r>
          </w:p>
        </w:tc>
      </w:tr>
      <w:tr>
        <w:tc>
          <w:tcPr>
            <w:tcW w:type="dxa" w:w="2556"/>
            <w:vAlign w:val="center"/>
          </w:tcPr>
          <w:p>
            <w:r>
              <w:t>Sequence</w:t>
            </w:r>
          </w:p>
        </w:tc>
        <w:tc>
          <w:tcPr>
            <w:tcW w:type="dxa" w:w="2556"/>
            <w:vAlign w:val="center"/>
          </w:tcPr>
          <w:p>
            <w:r>
              <w:t>scheme_slab_id_seq (absent)</w:t>
            </w:r>
          </w:p>
        </w:tc>
        <w:tc>
          <w:tcPr>
            <w:tcW w:type="dxa" w:w="2556"/>
            <w:vAlign w:val="center"/>
          </w:tcPr>
          <w:p>
            <w:r>
              <w:t>scheme_reward_slab_id_seq</w:t>
            </w:r>
          </w:p>
        </w:tc>
        <w:tc>
          <w:tcPr>
            <w:tcW w:type="dxa" w:w="2556"/>
            <w:vAlign w:val="center"/>
          </w:tcPr>
          <w:p>
            <w:r>
              <w:t>Present; unchanged</w:t>
            </w:r>
          </w:p>
        </w:tc>
      </w:tr>
      <w:tr>
        <w:tc>
          <w:tcPr>
            <w:tcW w:type="dxa" w:w="2556"/>
            <w:vAlign w:val="center"/>
          </w:tcPr>
          <w:p>
            <w:r>
              <w:t>Primary key</w:t>
            </w:r>
          </w:p>
        </w:tc>
        <w:tc>
          <w:tcPr>
            <w:tcW w:type="dxa" w:w="2556"/>
            <w:vAlign w:val="center"/>
          </w:tcPr>
          <w:p>
            <w:r>
              <w:t>scheme_slab_pkey (absent)</w:t>
            </w:r>
          </w:p>
        </w:tc>
        <w:tc>
          <w:tcPr>
            <w:tcW w:type="dxa" w:w="2556"/>
            <w:vAlign w:val="center"/>
          </w:tcPr>
          <w:p>
            <w:r>
              <w:t>scheme_reward_slab_pkey</w:t>
            </w:r>
          </w:p>
        </w:tc>
        <w:tc>
          <w:tcPr>
            <w:tcW w:type="dxa" w:w="2556"/>
            <w:vAlign w:val="center"/>
          </w:tcPr>
          <w:p>
            <w:r>
              <w:t>Present; unchanged</w:t>
            </w:r>
          </w:p>
        </w:tc>
      </w:tr>
    </w:tbl>
    <w:p>
      <w:pPr>
        <w:spacing w:after="20"/>
      </w:pPr>
    </w:p>
    <w:p>
      <w:r>
        <w:rPr>
          <w:b/>
        </w:rPr>
        <w:t xml:space="preserve">Conclusion: </w:t>
      </w:r>
      <w:r>
        <w:t>Migration 089 recorded successfully but performed no rename in production.</w:t>
      </w:r>
    </w:p>
    <w:p>
      <w:pPr>
        <w:pStyle w:val="Heading1"/>
      </w:pPr>
      <w:r>
        <w:t>3. Scheme Reward Slab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Rows</w:t>
            </w:r>
          </w:p>
        </w:tc>
        <w:tc>
          <w:tcPr>
            <w:tcW w:type="dxa" w:w="5112"/>
            <w:vAlign w:val="center"/>
          </w:tcPr>
          <w:p>
            <w:r>
              <w:t>132</w:t>
            </w:r>
          </w:p>
        </w:tc>
      </w:tr>
      <w:tr>
        <w:tc>
          <w:tcPr>
            <w:tcW w:type="dxa" w:w="5112"/>
            <w:vAlign w:val="center"/>
          </w:tcPr>
          <w:p>
            <w:r>
              <w:t>ID range</w:t>
            </w:r>
          </w:p>
        </w:tc>
        <w:tc>
          <w:tcPr>
            <w:tcW w:type="dxa" w:w="5112"/>
            <w:vAlign w:val="center"/>
          </w:tcPr>
          <w:p>
            <w:r>
              <w:t>1–132</w:t>
            </w:r>
          </w:p>
        </w:tc>
      </w:tr>
      <w:tr>
        <w:tc>
          <w:tcPr>
            <w:tcW w:type="dxa" w:w="5112"/>
            <w:vAlign w:val="center"/>
          </w:tcPr>
          <w:p>
            <w:r>
              <w:t>Sequence</w:t>
            </w:r>
          </w:p>
        </w:tc>
        <w:tc>
          <w:tcPr>
            <w:tcW w:type="dxa" w:w="5112"/>
            <w:vAlign w:val="center"/>
          </w:tcPr>
          <w:p>
            <w:r>
              <w:t>scheme_reward_slab_id_seq</w:t>
            </w:r>
          </w:p>
        </w:tc>
      </w:tr>
      <w:tr>
        <w:tc>
          <w:tcPr>
            <w:tcW w:type="dxa" w:w="5112"/>
            <w:vAlign w:val="center"/>
          </w:tcPr>
          <w:p>
            <w:r>
              <w:t>Sequence last_value</w:t>
            </w:r>
          </w:p>
        </w:tc>
        <w:tc>
          <w:tcPr>
            <w:tcW w:type="dxa" w:w="5112"/>
            <w:vAlign w:val="center"/>
          </w:tcPr>
          <w:p>
            <w:r>
              <w:t>132</w:t>
            </w:r>
          </w:p>
        </w:tc>
      </w:tr>
      <w:tr>
        <w:tc>
          <w:tcPr>
            <w:tcW w:type="dxa" w:w="5112"/>
            <w:vAlign w:val="center"/>
          </w:tcPr>
          <w:p>
            <w:r>
              <w:t>Sequence is_called</w:t>
            </w:r>
          </w:p>
        </w:tc>
        <w:tc>
          <w:tcPr>
            <w:tcW w:type="dxa" w:w="5112"/>
            <w:vAlign w:val="center"/>
          </w:tcPr>
          <w:p>
            <w:r>
              <w:t>true</w:t>
            </w:r>
          </w:p>
        </w:tc>
      </w:tr>
      <w:tr>
        <w:tc>
          <w:tcPr>
            <w:tcW w:type="dxa" w:w="5112"/>
            <w:vAlign w:val="center"/>
          </w:tcPr>
          <w:p>
            <w:r>
              <w:t>Next generated ID</w:t>
            </w:r>
          </w:p>
        </w:tc>
        <w:tc>
          <w:tcPr>
            <w:tcW w:type="dxa" w:w="5112"/>
            <w:vAlign w:val="center"/>
          </w:tcPr>
          <w:p>
            <w:r>
              <w:t>133</w:t>
            </w:r>
          </w:p>
        </w:tc>
      </w:tr>
      <w:tr>
        <w:tc>
          <w:tcPr>
            <w:tcW w:type="dxa" w:w="5112"/>
            <w:vAlign w:val="center"/>
          </w:tcPr>
          <w:p>
            <w:r>
              <w:t>ID default</w:t>
            </w:r>
          </w:p>
        </w:tc>
        <w:tc>
          <w:tcPr>
            <w:tcW w:type="dxa" w:w="5112"/>
            <w:vAlign w:val="center"/>
          </w:tcPr>
          <w:p>
            <w:r>
              <w:t>nextval('scheme_reward_slab_id_seq'::regclass)</w:t>
            </w:r>
          </w:p>
        </w:tc>
      </w:tr>
      <w:tr>
        <w:tc>
          <w:tcPr>
            <w:tcW w:type="dxa" w:w="5112"/>
            <w:vAlign w:val="center"/>
          </w:tcPr>
          <w:p>
            <w:r>
              <w:t>PK constraint</w:t>
            </w:r>
          </w:p>
        </w:tc>
        <w:tc>
          <w:tcPr>
            <w:tcW w:type="dxa" w:w="5112"/>
            <w:vAlign w:val="center"/>
          </w:tcPr>
          <w:p>
            <w:r>
              <w:t>scheme_reward_slab_pkey</w:t>
            </w:r>
          </w:p>
        </w:tc>
      </w:tr>
    </w:tbl>
    <w:p>
      <w:pPr>
        <w:spacing w:after="20"/>
      </w:pPr>
    </w:p>
    <w:p>
      <w:pPr>
        <w:pStyle w:val="Heading1"/>
      </w:pPr>
      <w:r>
        <w:t>4. Primary Monthly-Ingest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Relation</w:t>
            </w:r>
          </w:p>
        </w:tc>
        <w:tc>
          <w:tcPr>
            <w:tcW w:type="dxa" w:w="5112"/>
            <w:vAlign w:val="center"/>
          </w:tcPr>
          <w:p>
            <w:r>
              <w:t>register_monthly_ingest_ledger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Columns</w:t>
            </w:r>
          </w:p>
        </w:tc>
        <w:tc>
          <w:tcPr>
            <w:tcW w:type="dxa" w:w="5112"/>
            <w:vAlign w:val="center"/>
          </w:tcPr>
          <w:p>
            <w:r>
              <w:t>36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Constraints</w:t>
            </w:r>
          </w:p>
        </w:tc>
        <w:tc>
          <w:tcPr>
            <w:tcW w:type="dxa" w:w="5112"/>
            <w:vAlign w:val="center"/>
          </w:tcPr>
          <w:p>
            <w:r>
              <w:t>5</w:t>
            </w:r>
          </w:p>
        </w:tc>
      </w:tr>
      <w:tr>
        <w:tc>
          <w:tcPr>
            <w:tcW w:type="dxa" w:w="5112"/>
            <w:vAlign w:val="center"/>
          </w:tcPr>
          <w:p>
            <w:r>
              <w:t>Indexes</w:t>
            </w:r>
          </w:p>
        </w:tc>
        <w:tc>
          <w:tcPr>
            <w:tcW w:type="dxa" w:w="5112"/>
            <w:vAlign w:val="center"/>
          </w:tcPr>
          <w:p>
            <w:r>
              <w:t>3</w:t>
            </w:r>
          </w:p>
        </w:tc>
      </w:tr>
    </w:tbl>
    <w:p>
      <w:pPr>
        <w:spacing w:after="20"/>
      </w:pPr>
    </w:p>
    <w:p>
      <w:pPr>
        <w:pStyle w:val="Heading1"/>
      </w:pPr>
      <w:r>
        <w:t>5. Secondary Order-Line Anchor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Rows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Crore equivalent</w:t>
            </w:r>
          </w:p>
        </w:tc>
      </w:tr>
      <w:tr>
        <w:tc>
          <w:tcPr>
            <w:tcW w:type="dxa" w:w="3408"/>
            <w:vAlign w:val="center"/>
          </w:tcPr>
          <w:p>
            <w:r>
              <w:t>846,618</w:t>
            </w:r>
          </w:p>
        </w:tc>
        <w:tc>
          <w:tcPr>
            <w:tcW w:type="dxa" w:w="3408"/>
            <w:vAlign w:val="center"/>
          </w:tcPr>
          <w:p>
            <w:r>
              <w:t>₹5,340,954,115.0895</w:t>
            </w:r>
          </w:p>
        </w:tc>
        <w:tc>
          <w:tcPr>
            <w:tcW w:type="dxa" w:w="3408"/>
            <w:vAlign w:val="center"/>
          </w:tcPr>
          <w:p>
            <w:r>
              <w:t>₹534.0954 Cr</w:t>
            </w:r>
          </w:p>
        </w:tc>
      </w:tr>
    </w:tbl>
    <w:p>
      <w:pPr>
        <w:spacing w:after="20"/>
      </w:pPr>
    </w:p>
    <w:p>
      <w:pPr>
        <w:pStyle w:val="Heading1"/>
      </w:pPr>
      <w:r>
        <w:t>6. Frozen Fiscal-Year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Fiscal year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556"/>
            <w:vAlign w:val="center"/>
          </w:tcPr>
          <w:p>
            <w:r>
              <w:t>2024–25</w:t>
            </w:r>
          </w:p>
        </w:tc>
        <w:tc>
          <w:tcPr>
            <w:tcW w:type="dxa" w:w="2556"/>
            <w:vAlign w:val="center"/>
          </w:tcPr>
          <w:p>
            <w:r>
              <w:t>141,201</w:t>
            </w:r>
          </w:p>
        </w:tc>
        <w:tc>
          <w:tcPr>
            <w:tcW w:type="dxa" w:w="2556"/>
            <w:vAlign w:val="center"/>
          </w:tcPr>
          <w:p>
            <w:r>
              <w:t>₹3,411,433,805.25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t>2025–26</w:t>
            </w:r>
          </w:p>
        </w:tc>
        <w:tc>
          <w:tcPr>
            <w:tcW w:type="dxa" w:w="2556"/>
            <w:vAlign w:val="center"/>
          </w:tcPr>
          <w:p>
            <w:r>
              <w:t>145,613</w:t>
            </w:r>
          </w:p>
        </w:tc>
        <w:tc>
          <w:tcPr>
            <w:tcW w:type="dxa" w:w="2556"/>
            <w:vAlign w:val="center"/>
          </w:tcPr>
          <w:p>
            <w:r>
              <w:t>₹3,609,953,808.51</w:t>
            </w:r>
          </w:p>
        </w:tc>
        <w:tc>
          <w:tcPr>
            <w:tcW w:type="dxa" w:w="2556"/>
            <w:vAlign w:val="center"/>
          </w:tcPr>
          <w:p>
            <w:r>
              <w:t>PASS</w:t>
            </w:r>
          </w:p>
        </w:tc>
      </w:tr>
    </w:tbl>
    <w:p>
      <w:pPr>
        <w:spacing w:after="20"/>
      </w:pPr>
    </w:p>
    <w:p>
      <w:pPr>
        <w:pStyle w:val="Heading1"/>
      </w:pPr>
      <w:r>
        <w:t>7. August 2026 Frozen Anchor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Month</w:t>
            </w:r>
          </w:p>
        </w:tc>
        <w:tc>
          <w:tcPr>
            <w:tcW w:type="dxa" w:w="5112"/>
            <w:vAlign w:val="center"/>
          </w:tcPr>
          <w:p>
            <w:r>
              <w:t>Aug-26</w:t>
            </w:r>
          </w:p>
        </w:tc>
      </w:tr>
      <w:tr>
        <w:tc>
          <w:tcPr>
            <w:tcW w:type="dxa" w:w="5112"/>
            <w:vAlign w:val="center"/>
          </w:tcPr>
          <w:p>
            <w:r>
              <w:t>Rows</w:t>
            </w:r>
          </w:p>
        </w:tc>
        <w:tc>
          <w:tcPr>
            <w:tcW w:type="dxa" w:w="5112"/>
            <w:vAlign w:val="center"/>
          </w:tcPr>
          <w:p>
            <w:r>
              <w:t>12,878</w:t>
            </w:r>
          </w:p>
        </w:tc>
      </w:tr>
      <w:tr>
        <w:tc>
          <w:tcPr>
            <w:tcW w:type="dxa" w:w="5112"/>
            <w:vAlign w:val="center"/>
          </w:tcPr>
          <w:p>
            <w:r>
              <w:t>Amount</w:t>
            </w:r>
          </w:p>
        </w:tc>
        <w:tc>
          <w:tcPr>
            <w:tcW w:type="dxa" w:w="5112"/>
            <w:vAlign w:val="center"/>
          </w:tcPr>
          <w:p>
            <w:r>
              <w:t>₹304,228,618.69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Frozen at</w:t>
            </w:r>
          </w:p>
        </w:tc>
        <w:tc>
          <w:tcPr>
            <w:tcW w:type="dxa" w:w="5112"/>
            <w:vAlign w:val="center"/>
          </w:tcPr>
          <w:p>
            <w:r>
              <w:t>2026-09-07 00:00:00 UTC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Frozen rows</w:t>
            </w:r>
          </w:p>
        </w:tc>
        <w:tc>
          <w:tcPr>
            <w:tcW w:type="dxa" w:w="5112"/>
            <w:vAlign w:val="center"/>
          </w:tcPr>
          <w:p>
            <w:r>
              <w:t>12,878</w:t>
            </w:r>
          </w:p>
        </w:tc>
      </w:tr>
      <w:tr>
        <w:tc>
          <w:tcPr>
            <w:tcW w:type="dxa" w:w="5112"/>
            <w:vAlign w:val="center"/>
          </w:tcPr>
          <w:p>
            <w:r>
              <w:t>Frozen amount</w:t>
            </w:r>
          </w:p>
        </w:tc>
        <w:tc>
          <w:tcPr>
            <w:tcW w:type="dxa" w:w="5112"/>
            <w:vAlign w:val="center"/>
          </w:tcPr>
          <w:p>
            <w:r>
              <w:t>₹304,228,618.69</w:t>
            </w:r>
          </w:p>
        </w:tc>
      </w:tr>
    </w:tbl>
    <w:p>
      <w:pPr>
        <w:spacing w:after="20"/>
      </w:pPr>
    </w:p>
    <w:p>
      <w:pPr>
        <w:pStyle w:val="Heading2"/>
      </w:pPr>
      <w:r>
        <w:t>Rejected shrinking-read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Rows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408"/>
            <w:vAlign w:val="center"/>
          </w:tcPr>
          <w:p>
            <w:r>
              <w:t>Before</w:t>
            </w:r>
          </w:p>
        </w:tc>
        <w:tc>
          <w:tcPr>
            <w:tcW w:type="dxa" w:w="3408"/>
            <w:vAlign w:val="center"/>
          </w:tcPr>
          <w:p>
            <w:r>
              <w:t>12,878</w:t>
            </w:r>
          </w:p>
        </w:tc>
        <w:tc>
          <w:tcPr>
            <w:tcW w:type="dxa" w:w="3408"/>
            <w:vAlign w:val="center"/>
          </w:tcPr>
          <w:p>
            <w:r>
              <w:t>₹304,228,618.69</w:t>
            </w:r>
          </w:p>
        </w:tc>
      </w:tr>
      <w:tr>
        <w:tc>
          <w:tcPr>
            <w:tcW w:type="dxa" w:w="3408"/>
            <w:vAlign w:val="center"/>
          </w:tcPr>
          <w:p>
            <w:r>
              <w:t>Shrinking source read</w:t>
            </w:r>
          </w:p>
        </w:tc>
        <w:tc>
          <w:tcPr>
            <w:tcW w:type="dxa" w:w="3408"/>
            <w:vAlign w:val="center"/>
          </w:tcPr>
          <w:p>
            <w:r>
              <w:t>12,871</w:t>
            </w:r>
          </w:p>
        </w:tc>
        <w:tc>
          <w:tcPr>
            <w:tcW w:type="dxa" w:w="3408"/>
            <w:vAlign w:val="center"/>
          </w:tcPr>
          <w:p>
            <w:r>
              <w:t>₹304,200,894.69</w:t>
            </w:r>
          </w:p>
        </w:tc>
      </w:tr>
      <w:tr>
        <w:tc>
          <w:tcPr>
            <w:tcW w:type="dxa" w:w="3408"/>
            <w:vAlign w:val="center"/>
          </w:tcPr>
          <w:p>
            <w:r>
              <w:t>After anchoring</w:t>
            </w:r>
          </w:p>
        </w:tc>
        <w:tc>
          <w:tcPr>
            <w:tcW w:type="dxa" w:w="3408"/>
            <w:vAlign w:val="center"/>
          </w:tcPr>
          <w:p>
            <w:r>
              <w:t>12,878</w:t>
            </w:r>
          </w:p>
        </w:tc>
        <w:tc>
          <w:tcPr>
            <w:tcW w:type="dxa" w:w="3408"/>
            <w:vAlign w:val="center"/>
          </w:tcPr>
          <w:p>
            <w:r>
              <w:t>₹304,228,618.69</w:t>
            </w:r>
          </w:p>
        </w:tc>
      </w:tr>
    </w:tbl>
    <w:p>
      <w:pPr>
        <w:spacing w:after="20"/>
      </w:pPr>
    </w:p>
    <w:p>
      <w:r>
        <w:t>The original ledger outcome remains anchored-after-rejected-read. The next startup correctly recorded frozen-skipped and retained the frozen figures unchanged.</w:t>
      </w:r>
    </w:p>
    <w:p>
      <w:pPr>
        <w:pStyle w:val="Heading1"/>
      </w:pPr>
      <w:r>
        <w:t>8. Application Startup and Live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>
              <w:t>Deployment</w:t>
            </w:r>
          </w:p>
        </w:tc>
        <w:tc>
          <w:tcPr>
            <w:tcW w:type="dxa" w:w="5112"/>
            <w:vAlign w:val="center"/>
          </w:tcPr>
          <w:p>
            <w:r>
              <w:t>Public VM; successful build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Primary URL</w:t>
            </w:r>
          </w:p>
        </w:tc>
        <w:tc>
          <w:tcPr>
            <w:tcW w:type="dxa" w:w="5112"/>
            <w:vAlign w:val="center"/>
          </w:tcPr>
          <w:p>
            <w:r>
              <w:t>https://prayag-sales.com</w:t>
            </w:r>
          </w:p>
        </w:tc>
      </w:tr>
      <w:tr>
        <w:tc>
          <w:tcPr>
            <w:tcW w:type="dxa" w:w="5112"/>
            <w:vAlign w:val="center"/>
          </w:tcPr>
          <w:p>
            <w:r>
              <w:t>Artifact port</w:t>
            </w:r>
          </w:p>
        </w:tc>
        <w:tc>
          <w:tcPr>
            <w:tcW w:type="dxa" w:w="5112"/>
            <w:vAlign w:val="center"/>
          </w:tcPr>
          <w:p>
            <w:r>
              <w:t>8080 detected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Server startup</w:t>
            </w:r>
          </w:p>
        </w:tc>
        <w:tc>
          <w:tcPr>
            <w:tcW w:type="dxa" w:w="5112"/>
            <w:vAlign w:val="center"/>
          </w:tcPr>
          <w:p>
            <w:r>
              <w:t>Listening successfully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 health endpoint</w:t>
            </w:r>
          </w:p>
        </w:tc>
        <w:tc>
          <w:tcPr>
            <w:tcW w:type="dxa" w:w="5112"/>
            <w:vAlign w:val="center"/>
          </w:tcPr>
          <w:p>
            <w:r>
              <w:t>GET /api/healthz → HTTP 200</w:t>
            </w:r>
          </w:p>
        </w:tc>
      </w:tr>
      <w:tr>
        <w:tc>
          <w:tcPr>
            <w:tcW w:type="dxa" w:w="5112"/>
            <w:vAlign w:val="center"/>
          </w:tcPr>
          <w:p>
            <w:r>
              <w:t>Public root URL</w:t>
            </w:r>
          </w:p>
        </w:tc>
        <w:tc>
          <w:tcPr>
            <w:tcW w:type="dxa" w:w="5112"/>
            <w:vAlign w:val="center"/>
          </w:tcPr>
          <w:p>
            <w:r>
              <w:t>HTTP 200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Content type</w:t>
            </w:r>
          </w:p>
        </w:tc>
        <w:tc>
          <w:tcPr>
            <w:tcW w:type="dxa" w:w="5112"/>
            <w:vAlign w:val="center"/>
          </w:tcPr>
          <w:p>
            <w:r>
              <w:t>text/html; charset=utf-8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 body</w:t>
            </w:r>
          </w:p>
        </w:tc>
        <w:tc>
          <w:tcPr>
            <w:tcW w:type="dxa" w:w="5112"/>
            <w:vAlign w:val="center"/>
          </w:tcPr>
          <w:p>
            <w:r>
              <w:t>1,462 bytes</w:t>
            </w:r>
          </w:p>
        </w:tc>
      </w:tr>
    </w:tbl>
    <w:p>
      <w:pPr>
        <w:spacing w:after="20"/>
      </w:pPr>
    </w:p>
    <w:p>
      <w:pPr>
        <w:spacing w:after="120"/>
        <w:ind w:left="360"/>
      </w:pPr>
      <w:r>
        <w:rPr>
          <w:rFonts w:ascii="Consolas" w:hAnsi="Consolas"/>
          <w:color w:val="373737"/>
          <w:sz w:val="17"/>
        </w:rPr>
        <w:t>13:51:33 UTC  Migration 089 recorded</w:t>
        <w:br/>
        <w:t>13:51:38 UTC  Artifact port 8080 detected</w:t>
        <w:br/>
        <w:t>13:51:38 UTC  Server listening</w:t>
        <w:br/>
        <w:t>13:51:38 UTC  GET /api/healthz → HTTP 200</w:t>
      </w:r>
    </w:p>
    <w:p>
      <w:r>
        <w:t>Transient health-check failures occurred while migrations and startup were still running. They stopped after the server began listening.</w:t>
      </w:r>
    </w:p>
    <w:p>
      <w:pPr>
        <w:pStyle w:val="Heading1"/>
      </w:pPr>
      <w:r>
        <w:t>Final Verification Result</w:t>
      </w:r>
    </w:p>
    <w:p>
      <w:pPr>
        <w:pStyle w:val="ListBullet"/>
      </w:pPr>
      <w:r>
        <w:t>Migration 089 recorded and was a guarded no-op in production.</w:t>
      </w:r>
    </w:p>
    <w:p>
      <w:pPr>
        <w:pStyle w:val="ListBullet"/>
      </w:pPr>
      <w:r>
        <w:t>Reward-slab rows, IDs, defaults, primary key, and sequence were preserved.</w:t>
      </w:r>
    </w:p>
    <w:p>
      <w:pPr>
        <w:pStyle w:val="ListBullet"/>
      </w:pPr>
      <w:r>
        <w:t>The monthly-ingest ledger schema remains intact.</w:t>
      </w:r>
    </w:p>
    <w:p>
      <w:pPr>
        <w:pStyle w:val="ListBullet"/>
      </w:pPr>
      <w:r>
        <w:t>The secondary order-line and both frozen fiscal-year anchors remain exact.</w:t>
      </w:r>
    </w:p>
    <w:p>
      <w:pPr>
        <w:pStyle w:val="ListBullet"/>
      </w:pPr>
      <w:r>
        <w:t>August remains anchored after the rejected shrinking source read.</w:t>
      </w:r>
    </w:p>
    <w:p>
      <w:pPr>
        <w:pStyle w:val="ListBullet"/>
      </w:pPr>
      <w:r>
        <w:t>The application started successfully and prayag-sales.com responds with HTTP 200.</w:t>
      </w:r>
    </w:p>
    <w:p>
      <w:pPr>
        <w:jc w:val="center"/>
      </w:pPr>
      <w:r>
        <w:rPr>
          <w:b/>
          <w:color w:val="00703C"/>
          <w:sz w:val="30"/>
        </w:rPr>
        <w:t>OVERALL RESULT: PASS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Prayag Sales Intelligence — Post-Publish Production Verification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