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Prompt 66 — Phase 1</w:t>
      </w:r>
    </w:p>
    <w:p>
      <w:pPr>
        <w:jc w:val="center"/>
      </w:pPr>
      <w:r>
        <w:rPr>
          <w:b/>
          <w:color w:val="2F5597"/>
          <w:sz w:val="30"/>
        </w:rPr>
        <w:t>Production Registry Reconciliation</w:t>
      </w:r>
    </w:p>
    <w:p>
      <w:pPr>
        <w:jc w:val="center"/>
      </w:pPr>
      <w:r>
        <w:rPr>
          <w:i/>
        </w:rPr>
        <w:t>Canonical Item-Code-to-Category Registry  |  Production verification after publish</w:t>
      </w:r>
    </w:p>
    <w:p>
      <w:pPr>
        <w:pStyle w:val="Heading1"/>
      </w:pPr>
      <w:r>
        <w:t>Executive summary</w:t>
      </w:r>
    </w:p>
    <w:p>
      <w:r>
        <w:t xml:space="preserve">The production database now contains </w:t>
      </w:r>
      <w:r>
        <w:rPr>
          <w:b/>
        </w:rPr>
        <w:t>canonical_item_category_registry</w:t>
      </w:r>
      <w:r>
        <w:t xml:space="preserve"> and </w:t>
      </w:r>
      <w:r>
        <w:rPr>
          <w:b/>
        </w:rPr>
        <w:t>canonical_item_category_source</w:t>
      </w:r>
      <w:r>
        <w:t>. Coverage and canonical-category reconciliation succeeded, including complete coverage of the 861 FY2026-27 sold codes without an MRP Division.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vAlign w:val="center"/>
          </w:tcPr>
          <w:p>
            <w:pPr>
              <w:spacing w:after="0" w:before="0"/>
            </w:pPr>
            <w:r>
              <w:rPr>
                <w:b/>
                <w:sz w:val="16"/>
              </w:rPr>
              <w:t>Measure</w:t>
            </w:r>
          </w:p>
        </w:tc>
        <w:tc>
          <w:tcPr>
            <w:tcW w:type="dxa" w:w="5112"/>
            <w:shd w:fill="D9EAF7"/>
            <w:vAlign w:val="center"/>
          </w:tcPr>
          <w:p>
            <w:pPr>
              <w:spacing w:after="0" w:before="0"/>
            </w:pPr>
            <w:r>
              <w:rPr>
                <w:b/>
                <w:sz w:val="16"/>
              </w:rPr>
              <w:t>Production result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Physical registry rows</w:t>
            </w:r>
          </w:p>
        </w:tc>
        <w:tc>
          <w:tcPr>
            <w:tcW w:type="dxa" w:w="5112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9,734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Distinct item codes</w:t>
            </w:r>
          </w:p>
        </w:tc>
        <w:tc>
          <w:tcPr>
            <w:tcW w:type="dxa" w:w="5112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9,623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Canonical categories</w:t>
            </w:r>
          </w:p>
        </w:tc>
        <w:tc>
          <w:tcPr>
            <w:tcW w:type="dxa" w:w="5112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17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True multi-category codes</w:t>
            </w:r>
          </w:p>
        </w:tc>
        <w:tc>
          <w:tcPr>
            <w:tcW w:type="dxa" w:w="5112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57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Current sale_line codes missing</w:t>
            </w:r>
          </w:p>
        </w:tc>
        <w:tc>
          <w:tcPr>
            <w:tcW w:type="dxa" w:w="5112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0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FY2026-27 sold codes without MRP Division</w:t>
            </w:r>
          </w:p>
        </w:tc>
        <w:tc>
          <w:tcPr>
            <w:tcW w:type="dxa" w:w="5112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861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Those 861 covered by group_canon seed</w:t>
            </w:r>
          </w:p>
        </w:tc>
        <w:tc>
          <w:tcPr>
            <w:tcW w:type="dxa" w:w="5112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861 / 861 (100%)</w:t>
            </w:r>
          </w:p>
        </w:tc>
      </w:tr>
    </w:tbl>
    <w:p>
      <w:pPr>
        <w:pStyle w:val="Heading1"/>
      </w:pPr>
      <w:r>
        <w:t>Production constraint anomaly</w:t>
      </w:r>
    </w:p>
    <w:p>
      <w:r>
        <w:rPr>
          <w:b/>
        </w:rPr>
        <w:t xml:space="preserve">Important: </w:t>
      </w:r>
      <w:r>
        <w:t>the Publish schema transformation changed the intended NULL-aware uniqueness rule into an ordinary unique constraint. Ordinary PostgreSQL uniqueness treats NULL values as distinct, allowing duplicate open-ended assignments.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vAlign w:val="center"/>
          </w:tcPr>
          <w:p>
            <w:pPr>
              <w:spacing w:after="0" w:before="0"/>
            </w:pPr>
            <w:r>
              <w:rPr>
                <w:b/>
                <w:sz w:val="16"/>
              </w:rPr>
              <w:t>Measure</w:t>
            </w:r>
          </w:p>
        </w:tc>
        <w:tc>
          <w:tcPr>
            <w:tcW w:type="dxa" w:w="5112"/>
            <w:shd w:fill="D9EAF7"/>
            <w:vAlign w:val="center"/>
          </w:tcPr>
          <w:p>
            <w:pPr>
              <w:spacing w:after="0" w:before="0"/>
            </w:pPr>
            <w:r>
              <w:rPr>
                <w:b/>
                <w:sz w:val="16"/>
              </w:rPr>
              <w:t>Result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Physical rows</w:t>
            </w:r>
          </w:p>
        </w:tc>
        <w:tc>
          <w:tcPr>
            <w:tcW w:type="dxa" w:w="5112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9,734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Duplicate code/category assignment rows</w:t>
            </w:r>
          </w:p>
        </w:tc>
        <w:tc>
          <w:tcPr>
            <w:tcW w:type="dxa" w:w="5112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35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Logical assignments after exact deduplication</w:t>
            </w:r>
          </w:p>
        </w:tc>
        <w:tc>
          <w:tcPr>
            <w:tcW w:type="dxa" w:w="5112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9,699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True multi-category code set</w:t>
            </w:r>
          </w:p>
        </w:tc>
        <w:tc>
          <w:tcPr>
            <w:tcW w:type="dxa" w:w="5112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Still correct: 57</w:t>
            </w:r>
          </w:p>
        </w:tc>
      </w:tr>
    </w:tbl>
    <w:p>
      <w:r>
        <w:t>A corrective migration and another publish are required to restore the intended invariant. No application output is affected because nothing reads this registry yet.</w:t>
      </w:r>
    </w:p>
    <w:p>
      <w:pPr>
        <w:pStyle w:val="Heading1"/>
      </w:pPr>
      <w:r>
        <w:t>All 57 multi-category item codes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vAlign w:val="center"/>
          </w:tcPr>
          <w:p>
            <w:pPr>
              <w:spacing w:after="0" w:before="0"/>
            </w:pPr>
            <w:r>
              <w:rPr>
                <w:b/>
                <w:sz w:val="16"/>
              </w:rPr>
              <w:t>Item code</w:t>
            </w:r>
          </w:p>
        </w:tc>
        <w:tc>
          <w:tcPr>
            <w:tcW w:type="dxa" w:w="5112"/>
            <w:shd w:fill="D9EAF7"/>
            <w:vAlign w:val="center"/>
          </w:tcPr>
          <w:p>
            <w:pPr>
              <w:spacing w:after="0" w:before="0"/>
            </w:pPr>
            <w:r>
              <w:rPr>
                <w:b/>
                <w:sz w:val="16"/>
              </w:rPr>
              <w:t>Canonical categories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4043</w:t>
            </w:r>
          </w:p>
        </w:tc>
        <w:tc>
          <w:tcPr>
            <w:tcW w:type="dxa" w:w="5112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PTMT / Faucets; Sanitaryware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4044</w:t>
            </w:r>
          </w:p>
        </w:tc>
        <w:tc>
          <w:tcPr>
            <w:tcW w:type="dxa" w:w="5112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PTMT / Faucets; Sanitaryware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4045</w:t>
            </w:r>
          </w:p>
        </w:tc>
        <w:tc>
          <w:tcPr>
            <w:tcW w:type="dxa" w:w="5112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PTMT / Faucets; Sanitaryware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501</w:t>
            </w:r>
          </w:p>
        </w:tc>
        <w:tc>
          <w:tcPr>
            <w:tcW w:type="dxa" w:w="5112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CISTERN; PTMT / Faucets; Sanitaryware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501N</w:t>
            </w:r>
          </w:p>
        </w:tc>
        <w:tc>
          <w:tcPr>
            <w:tcW w:type="dxa" w:w="5112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PTMT / Faucets; Sanitaryware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501S</w:t>
            </w:r>
          </w:p>
        </w:tc>
        <w:tc>
          <w:tcPr>
            <w:tcW w:type="dxa" w:w="5112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CISTERN; PTMT / Faucets; Sanitaryware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502</w:t>
            </w:r>
          </w:p>
        </w:tc>
        <w:tc>
          <w:tcPr>
            <w:tcW w:type="dxa" w:w="5112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CISTERN; PTMT / Faucets; Sanitaryware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503</w:t>
            </w:r>
          </w:p>
        </w:tc>
        <w:tc>
          <w:tcPr>
            <w:tcW w:type="dxa" w:w="5112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CISTERN; PTMT / Faucets; Sanitaryware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503N</w:t>
            </w:r>
          </w:p>
        </w:tc>
        <w:tc>
          <w:tcPr>
            <w:tcW w:type="dxa" w:w="5112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PTMT / Faucets; Sanitaryware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504</w:t>
            </w:r>
          </w:p>
        </w:tc>
        <w:tc>
          <w:tcPr>
            <w:tcW w:type="dxa" w:w="5112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CISTERN; PTMT / Faucets; Sanitaryware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506</w:t>
            </w:r>
          </w:p>
        </w:tc>
        <w:tc>
          <w:tcPr>
            <w:tcW w:type="dxa" w:w="5112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CISTERN; PTMT / Faucets; Sanitaryware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507</w:t>
            </w:r>
          </w:p>
        </w:tc>
        <w:tc>
          <w:tcPr>
            <w:tcW w:type="dxa" w:w="5112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CISTERN; PTMT / Faucets; Sanitaryware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508</w:t>
            </w:r>
          </w:p>
        </w:tc>
        <w:tc>
          <w:tcPr>
            <w:tcW w:type="dxa" w:w="5112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CISTERN; PTMT / Faucets; Sanitaryware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511</w:t>
            </w:r>
          </w:p>
        </w:tc>
        <w:tc>
          <w:tcPr>
            <w:tcW w:type="dxa" w:w="5112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PTMT / Faucets; Sanitaryware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512</w:t>
            </w:r>
          </w:p>
        </w:tc>
        <w:tc>
          <w:tcPr>
            <w:tcW w:type="dxa" w:w="5112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PTMT / Faucets; Sanitaryware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513</w:t>
            </w:r>
          </w:p>
        </w:tc>
        <w:tc>
          <w:tcPr>
            <w:tcW w:type="dxa" w:w="5112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PTMT / Faucets; Sanitaryware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514</w:t>
            </w:r>
          </w:p>
        </w:tc>
        <w:tc>
          <w:tcPr>
            <w:tcW w:type="dxa" w:w="5112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PTMT / Faucets; Sanitaryware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514-T</w:t>
            </w:r>
          </w:p>
        </w:tc>
        <w:tc>
          <w:tcPr>
            <w:tcW w:type="dxa" w:w="5112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PTMT / Faucets; Sanitaryware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515</w:t>
            </w:r>
          </w:p>
        </w:tc>
        <w:tc>
          <w:tcPr>
            <w:tcW w:type="dxa" w:w="5112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PTMT / Faucets; Sanitaryware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516</w:t>
            </w:r>
          </w:p>
        </w:tc>
        <w:tc>
          <w:tcPr>
            <w:tcW w:type="dxa" w:w="5112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PTMT / Faucets; Sanitaryware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517</w:t>
            </w:r>
          </w:p>
        </w:tc>
        <w:tc>
          <w:tcPr>
            <w:tcW w:type="dxa" w:w="5112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PTMT / Faucets; Sanitaryware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518</w:t>
            </w:r>
          </w:p>
        </w:tc>
        <w:tc>
          <w:tcPr>
            <w:tcW w:type="dxa" w:w="5112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PTMT / Faucets; Sanitaryware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701</w:t>
            </w:r>
          </w:p>
        </w:tc>
        <w:tc>
          <w:tcPr>
            <w:tcW w:type="dxa" w:w="5112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CISTERN; PTMT / Faucets; Sanitaryware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701N</w:t>
            </w:r>
          </w:p>
        </w:tc>
        <w:tc>
          <w:tcPr>
            <w:tcW w:type="dxa" w:w="5112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PTMT / Faucets; Sanitaryware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702</w:t>
            </w:r>
          </w:p>
        </w:tc>
        <w:tc>
          <w:tcPr>
            <w:tcW w:type="dxa" w:w="5112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CISTERN; PTMT / Faucets; Sanitaryware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703</w:t>
            </w:r>
          </w:p>
        </w:tc>
        <w:tc>
          <w:tcPr>
            <w:tcW w:type="dxa" w:w="5112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CISTERN; PTMT / Faucets; Sanitaryware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704</w:t>
            </w:r>
          </w:p>
        </w:tc>
        <w:tc>
          <w:tcPr>
            <w:tcW w:type="dxa" w:w="5112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CISTERN; PTMT / Faucets; Sanitaryware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705</w:t>
            </w:r>
          </w:p>
        </w:tc>
        <w:tc>
          <w:tcPr>
            <w:tcW w:type="dxa" w:w="5112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CISTERN; PTMT / Faucets; Sanitaryware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706</w:t>
            </w:r>
          </w:p>
        </w:tc>
        <w:tc>
          <w:tcPr>
            <w:tcW w:type="dxa" w:w="5112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CISTERN; PTMT / Faucets; Sanitaryware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708</w:t>
            </w:r>
          </w:p>
        </w:tc>
        <w:tc>
          <w:tcPr>
            <w:tcW w:type="dxa" w:w="5112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CISTERN; PTMT / Faucets; Sanitaryware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721</w:t>
            </w:r>
          </w:p>
        </w:tc>
        <w:tc>
          <w:tcPr>
            <w:tcW w:type="dxa" w:w="5112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PTMT / Faucets; Sanitaryware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722</w:t>
            </w:r>
          </w:p>
        </w:tc>
        <w:tc>
          <w:tcPr>
            <w:tcW w:type="dxa" w:w="5112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PTMT / Faucets; Sanitaryware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723</w:t>
            </w:r>
          </w:p>
        </w:tc>
        <w:tc>
          <w:tcPr>
            <w:tcW w:type="dxa" w:w="5112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PTMT / Faucets; Sanitaryware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724</w:t>
            </w:r>
          </w:p>
        </w:tc>
        <w:tc>
          <w:tcPr>
            <w:tcW w:type="dxa" w:w="5112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PTMT / Faucets; Sanitaryware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725</w:t>
            </w:r>
          </w:p>
        </w:tc>
        <w:tc>
          <w:tcPr>
            <w:tcW w:type="dxa" w:w="5112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PTMT / Faucets; Sanitaryware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CB-02</w:t>
            </w:r>
          </w:p>
        </w:tc>
        <w:tc>
          <w:tcPr>
            <w:tcW w:type="dxa" w:w="5112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PTMT / Faucets; Sanitaryware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CF-01</w:t>
            </w:r>
          </w:p>
        </w:tc>
        <w:tc>
          <w:tcPr>
            <w:tcW w:type="dxa" w:w="5112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PTMT / Faucets; Sanitaryware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CF-03</w:t>
            </w:r>
          </w:p>
        </w:tc>
        <w:tc>
          <w:tcPr>
            <w:tcW w:type="dxa" w:w="5112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PTMT / Faucets; Sanitaryware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CH-01</w:t>
            </w:r>
          </w:p>
        </w:tc>
        <w:tc>
          <w:tcPr>
            <w:tcW w:type="dxa" w:w="5112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PTMT / Faucets; Sanitaryware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CNS-15</w:t>
            </w:r>
          </w:p>
        </w:tc>
        <w:tc>
          <w:tcPr>
            <w:tcW w:type="dxa" w:w="5112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CP (Chrome-Plated); PTMT / Faucets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CNS-20</w:t>
            </w:r>
          </w:p>
        </w:tc>
        <w:tc>
          <w:tcPr>
            <w:tcW w:type="dxa" w:w="5112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CP (Chrome-Plated); PTMT / Faucets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CS-01</w:t>
            </w:r>
          </w:p>
        </w:tc>
        <w:tc>
          <w:tcPr>
            <w:tcW w:type="dxa" w:w="5112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PTMT / Faucets; Sanitaryware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DB-01</w:t>
            </w:r>
          </w:p>
        </w:tc>
        <w:tc>
          <w:tcPr>
            <w:tcW w:type="dxa" w:w="5112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PTMT / Faucets; Sanitaryware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DB-02</w:t>
            </w:r>
          </w:p>
        </w:tc>
        <w:tc>
          <w:tcPr>
            <w:tcW w:type="dxa" w:w="5112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PTMT / Faucets; Sanitaryware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DB-02L</w:t>
            </w:r>
          </w:p>
        </w:tc>
        <w:tc>
          <w:tcPr>
            <w:tcW w:type="dxa" w:w="5112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PTMT / Faucets; Sanitaryware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DB-04</w:t>
            </w:r>
          </w:p>
        </w:tc>
        <w:tc>
          <w:tcPr>
            <w:tcW w:type="dxa" w:w="5112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PTMT / Faucets; Sanitaryware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DF-01</w:t>
            </w:r>
          </w:p>
        </w:tc>
        <w:tc>
          <w:tcPr>
            <w:tcW w:type="dxa" w:w="5112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PTMT / Faucets; Sanitaryware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LB-01</w:t>
            </w:r>
          </w:p>
        </w:tc>
        <w:tc>
          <w:tcPr>
            <w:tcW w:type="dxa" w:w="5112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CISTERN; PTMT / Faucets; Sanitaryware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RB-45</w:t>
            </w:r>
          </w:p>
        </w:tc>
        <w:tc>
          <w:tcPr>
            <w:tcW w:type="dxa" w:w="5112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CP (Chrome-Plated); Sanitaryware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RB-46</w:t>
            </w:r>
          </w:p>
        </w:tc>
        <w:tc>
          <w:tcPr>
            <w:tcW w:type="dxa" w:w="5112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CP (Chrome-Plated); Sanitaryware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SB-01</w:t>
            </w:r>
          </w:p>
        </w:tc>
        <w:tc>
          <w:tcPr>
            <w:tcW w:type="dxa" w:w="5112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PTMT / Faucets; Sanitaryware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SF-01</w:t>
            </w:r>
          </w:p>
        </w:tc>
        <w:tc>
          <w:tcPr>
            <w:tcW w:type="dxa" w:w="5112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PTMT / Faucets; Sanitaryware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SF-02</w:t>
            </w:r>
          </w:p>
        </w:tc>
        <w:tc>
          <w:tcPr>
            <w:tcW w:type="dxa" w:w="5112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PTMT / Faucets; Sanitaryware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SP-02</w:t>
            </w:r>
          </w:p>
        </w:tc>
        <w:tc>
          <w:tcPr>
            <w:tcW w:type="dxa" w:w="5112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PTMT / Faucets; Sanitaryware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TTS-01</w:t>
            </w:r>
          </w:p>
        </w:tc>
        <w:tc>
          <w:tcPr>
            <w:tcW w:type="dxa" w:w="5112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CP (Chrome-Plated); Hardware; PTMT / Faucets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TTS-02</w:t>
            </w:r>
          </w:p>
        </w:tc>
        <w:tc>
          <w:tcPr>
            <w:tcW w:type="dxa" w:w="5112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CP (Chrome-Plated); Hardware; PTMT / Faucets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TTS-03</w:t>
            </w:r>
          </w:p>
        </w:tc>
        <w:tc>
          <w:tcPr>
            <w:tcW w:type="dxa" w:w="5112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CP (Chrome-Plated); Hardware; PTMT / Faucets</w:t>
            </w:r>
          </w:p>
        </w:tc>
      </w:tr>
    </w:tbl>
    <w:p>
      <w:pPr>
        <w:pStyle w:val="Heading1"/>
      </w:pPr>
      <w:r>
        <w:t>17-category to MRP-Division crosswalk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vAlign w:val="center"/>
          </w:tcPr>
          <w:p>
            <w:pPr>
              <w:spacing w:after="0" w:before="0"/>
            </w:pPr>
            <w:r>
              <w:rPr>
                <w:b/>
                <w:sz w:val="16"/>
              </w:rPr>
              <w:t>Canonical category</w:t>
            </w:r>
          </w:p>
        </w:tc>
        <w:tc>
          <w:tcPr>
            <w:tcW w:type="dxa" w:w="5112"/>
            <w:shd w:fill="D9EAF7"/>
            <w:vAlign w:val="center"/>
          </w:tcPr>
          <w:p>
            <w:pPr>
              <w:spacing w:after="0" w:before="0"/>
            </w:pPr>
            <w:r>
              <w:rPr>
                <w:b/>
                <w:sz w:val="16"/>
              </w:rPr>
              <w:t>Observed MRP Division values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AGRI</w:t>
            </w:r>
          </w:p>
        </w:tc>
        <w:tc>
          <w:tcPr>
            <w:tcW w:type="dxa" w:w="5112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Pipes &amp; Fittings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CISTERN</w:t>
            </w:r>
          </w:p>
        </w:tc>
        <w:tc>
          <w:tcPr>
            <w:tcW w:type="dxa" w:w="5112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Ceramic Sanitaryware; PTMT &amp; Plastic Fittings; approved Ceramic Sanitaryware / PTMT composite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COLUMN</w:t>
            </w:r>
          </w:p>
        </w:tc>
        <w:tc>
          <w:tcPr>
            <w:tcW w:type="dxa" w:w="5112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Pipes &amp; Fittings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CP (Chrome-Plated)</w:t>
            </w:r>
          </w:p>
        </w:tc>
        <w:tc>
          <w:tcPr>
            <w:tcW w:type="dxa" w:w="5112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CP Fittings / Faucets; Ceramic Sanitaryware; PTMT &amp; Plastic Fittings; approved CP composites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CPVC</w:t>
            </w:r>
          </w:p>
        </w:tc>
        <w:tc>
          <w:tcPr>
            <w:tcW w:type="dxa" w:w="5112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Pipes &amp; Fittings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Connection / Waste</w:t>
            </w:r>
          </w:p>
        </w:tc>
        <w:tc>
          <w:tcPr>
            <w:tcW w:type="dxa" w:w="5112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PTMT &amp; Plastic Fittings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Corrugated Pipe</w:t>
            </w:r>
          </w:p>
        </w:tc>
        <w:tc>
          <w:tcPr>
            <w:tcW w:type="dxa" w:w="5112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No MRP Division evidence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Garden Pipe</w:t>
            </w:r>
          </w:p>
        </w:tc>
        <w:tc>
          <w:tcPr>
            <w:tcW w:type="dxa" w:w="5112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PTMT &amp; Plastic Fittings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HDPE</w:t>
            </w:r>
          </w:p>
        </w:tc>
        <w:tc>
          <w:tcPr>
            <w:tcW w:type="dxa" w:w="5112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Pipes &amp; Fittings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Hardware</w:t>
            </w:r>
          </w:p>
        </w:tc>
        <w:tc>
          <w:tcPr>
            <w:tcW w:type="dxa" w:w="5112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Hardware; CP (QUAA / FERN); CP Fittings / Faucets; PTMT &amp; Plastic Fittings; approved CP/PTMT/Pipes composite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PPR</w:t>
            </w:r>
          </w:p>
        </w:tc>
        <w:tc>
          <w:tcPr>
            <w:tcW w:type="dxa" w:w="5112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Pipes &amp; Fittings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PTMT / Faucets</w:t>
            </w:r>
          </w:p>
        </w:tc>
        <w:tc>
          <w:tcPr>
            <w:tcW w:type="dxa" w:w="5112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CP Fittings / Faucets; Ceramic Sanitaryware; PTMT &amp; Plastic Fittings; approved sanitaryware/PTMT and CP composites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SWR</w:t>
            </w:r>
          </w:p>
        </w:tc>
        <w:tc>
          <w:tcPr>
            <w:tcW w:type="dxa" w:w="5112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Pipes &amp; Fittings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Sanitaryware</w:t>
            </w:r>
          </w:p>
        </w:tc>
        <w:tc>
          <w:tcPr>
            <w:tcW w:type="dxa" w:w="5112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Ceramic Sanitaryware; PTMT &amp; Plastic Fittings; CP Fittings / Faucets; approved sanitaryware composites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Sink</w:t>
            </w:r>
          </w:p>
        </w:tc>
        <w:tc>
          <w:tcPr>
            <w:tcW w:type="dxa" w:w="5112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PTMT &amp; Plastic Fittings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UPVC</w:t>
            </w:r>
          </w:p>
        </w:tc>
        <w:tc>
          <w:tcPr>
            <w:tcW w:type="dxa" w:w="5112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Pipes &amp; Fittings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WATER TANK</w:t>
            </w:r>
          </w:p>
        </w:tc>
        <w:tc>
          <w:tcPr>
            <w:tcW w:type="dxa" w:w="5112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Pipes &amp; Fittings</w:t>
            </w:r>
          </w:p>
        </w:tc>
      </w:tr>
    </w:tbl>
    <w:p>
      <w:pPr>
        <w:pStyle w:val="Heading1"/>
      </w:pPr>
      <w:r>
        <w:t>Scope confirmation</w:t>
      </w:r>
    </w:p>
    <w:p>
      <w:pPr>
        <w:pStyle w:val="ListBullet"/>
      </w:pPr>
      <w:r>
        <w:t>No query changed.</w:t>
      </w:r>
    </w:p>
    <w:p>
      <w:pPr>
        <w:pStyle w:val="ListBullet"/>
      </w:pPr>
      <w:r>
        <w:t>No page changed.</w:t>
      </w:r>
    </w:p>
    <w:p>
      <w:pPr>
        <w:pStyle w:val="ListBullet"/>
      </w:pPr>
      <w:r>
        <w:t>No export changed.</w:t>
      </w:r>
    </w:p>
    <w:p>
      <w:pPr>
        <w:pStyle w:val="ListBullet"/>
      </w:pPr>
      <w:r>
        <w:t>No AI payload changed.</w:t>
      </w:r>
    </w:p>
    <w:p>
      <w:pPr>
        <w:pStyle w:val="ListBullet"/>
      </w:pPr>
      <w:r>
        <w:t>No displayed figure changed.</w:t>
      </w:r>
    </w:p>
    <w:p>
      <w:pPr>
        <w:pStyle w:val="ListBullet"/>
      </w:pPr>
      <w:r>
        <w:t>Nothing reads the registry yet.</w:t>
      </w:r>
    </w:p>
    <w:p>
      <w:pPr>
        <w:pStyle w:val="ListBullet"/>
      </w:pPr>
      <w:r>
        <w:t>Phase 2 has not begun.</w:t>
      </w:r>
    </w:p>
    <w:p>
      <w:r>
        <w:t>Prepared from direct read-only production database reconciliation after publish.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559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