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Development–Production Schema Alignment Report</w:t>
      </w:r>
    </w:p>
    <w:p>
      <w:pPr>
        <w:jc w:val="center"/>
      </w:pPr>
      <w:r>
        <w:rPr>
          <w:b/>
          <w:color w:val="44546A"/>
        </w:rPr>
        <w:t>Prayag Sales Intelligence • 7 September 2026</w:t>
      </w:r>
    </w:p>
    <w:p>
      <w:pPr>
        <w:jc w:val="center"/>
      </w:pPr>
      <w:r>
        <w:rPr>
          <w:i/>
        </w:rPr>
        <w:t>Development migrations 087 and 088 applied and verified. No publish and no production write performed.</w:t>
      </w:r>
    </w:p>
    <w:p>
      <w:pPr>
        <w:pStyle w:val="Heading1"/>
      </w:pPr>
      <w:r>
        <w:t>Executive status</w:t>
      </w:r>
    </w:p>
    <w:p>
      <w:pPr>
        <w:pStyle w:val="ListBullet"/>
        <w:spacing w:after="40"/>
      </w:pPr>
      <w:r>
        <w:t>Development was brought through migrations 087 and 088 using the existing migration runner.</w:t>
      </w:r>
    </w:p>
    <w:p>
      <w:pPr>
        <w:pStyle w:val="ListBullet"/>
        <w:spacing w:after="40"/>
      </w:pPr>
      <w:r>
        <w:t>The ledger now matches production exactly: 36 columns, five constraints, and three indexes.</w:t>
      </w:r>
    </w:p>
    <w:p>
      <w:pPr>
        <w:pStyle w:val="ListBullet"/>
        <w:spacing w:after="40"/>
      </w:pPr>
      <w:r>
        <w:t>Every production migration ID is now also present in development.</w:t>
      </w:r>
    </w:p>
    <w:p>
      <w:pPr>
        <w:pStyle w:val="ListBullet"/>
        <w:spacing w:after="40"/>
      </w:pPr>
      <w:r>
        <w:t>One non-ledger schema naming discrepancy remains on scheme_reward_slab: the primary-key and sequence names differ.</w:t>
      </w:r>
    </w:p>
    <w:p>
      <w:pPr>
        <w:pStyle w:val="ListBullet"/>
        <w:spacing w:after="40"/>
      </w:pPr>
      <w:r>
        <w:t>Publishing remains blocked until that discrepancy is deliberately reviewed and aligned.</w:t>
      </w:r>
    </w:p>
    <w:p>
      <w:pPr>
        <w:pStyle w:val="Heading1"/>
      </w:pPr>
      <w:r>
        <w:t>1. Development migrations 087 and 088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  <w:color w:val="17365D"/>
                <w:sz w:val="17"/>
              </w:rPr>
              <w:t>Migration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color w:val="17365D"/>
                <w:sz w:val="17"/>
              </w:rPr>
              <w:t>Development applied at (UTC)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color w:val="17365D"/>
                <w:sz w:val="17"/>
              </w:rPr>
              <w:t>Result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087_register_monthly_ingest_ledger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2026-09-07 13:02:29.349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Applied successfully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088_register_anchor_after_rejection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2026-09-07 13:02:29.891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Applied successfully</w:t>
            </w:r>
          </w:p>
        </w:tc>
      </w:tr>
    </w:tbl>
    <w:p>
      <w:pPr>
        <w:spacing w:after="20"/>
      </w:pPr>
    </w:p>
    <w:p>
      <w:pPr>
        <w:pStyle w:val="Heading2"/>
      </w:pPr>
      <w:r>
        <w:t>Ledger schema parity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  <w:color w:val="17365D"/>
                <w:sz w:val="17"/>
              </w:rPr>
              <w:t>Component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color w:val="17365D"/>
                <w:sz w:val="17"/>
              </w:rPr>
              <w:t>Production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color w:val="17365D"/>
                <w:sz w:val="17"/>
              </w:rPr>
              <w:t>Development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color w:val="17365D"/>
                <w:sz w:val="17"/>
              </w:rPr>
              <w:t>Exact match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Columns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Constraints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sz w:val="17"/>
              </w:rPr>
              <w:t>Indexes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41"/>
            <w:vAlign w:val="center"/>
          </w:tcPr>
          <w:p>
            <w:r>
              <w:rPr>
                <w:sz w:val="17"/>
              </w:rPr>
              <w:t>Yes</w:t>
            </w:r>
          </w:p>
        </w:tc>
      </w:tr>
    </w:tbl>
    <w:p>
      <w:pPr>
        <w:spacing w:after="20"/>
      </w:pPr>
    </w:p>
    <w:p>
      <w:r>
        <w:t>The catalog definitions match exactly, including object names, data types, nullability, defaults, checks, column order, and index definitions.</w:t>
      </w:r>
    </w:p>
    <w:p>
      <w:pPr>
        <w:pStyle w:val="Heading2"/>
      </w:pPr>
      <w:r>
        <w:t>Matching constraints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register_monthly_ingest_ledger_pkey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register_monthly_ingest_ledger_actor_check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register_monthly_ingest_ledger_confidence_check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register_monthly_ingest_ledger_outcome_check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register_monthly_ingest_ledger_write_atomicity_check</w:t>
      </w:r>
    </w:p>
    <w:p>
      <w:r>
        <w:t>The matching outcome constraint includes anchored-after-rejected-read.</w:t>
      </w:r>
    </w:p>
    <w:p>
      <w:pPr>
        <w:pStyle w:val="Heading2"/>
      </w:pPr>
      <w:r>
        <w:t>Matching indexes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register_monthly_ingest_ledger_pkey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register_monthly_ingest_ledger_fy_month_attempt_idx</w:t>
      </w:r>
    </w:p>
    <w:p>
      <w:pPr>
        <w:spacing w:after="100"/>
        <w:ind w:left="360"/>
      </w:pPr>
      <w:r>
        <w:rPr>
          <w:rFonts w:ascii="Consolas" w:hAnsi="Consolas"/>
          <w:sz w:val="16"/>
        </w:rPr>
        <w:t>register_monthly_ingest_ledger_run_idx</w:t>
      </w:r>
    </w:p>
    <w:p>
      <w:pPr>
        <w:pStyle w:val="Heading1"/>
      </w:pPr>
      <w:r>
        <w:t>2. Remaining production-only schema names</w:t>
      </w:r>
    </w:p>
    <w:p>
      <w:r>
        <w:t>After applying 087 and 088, there are no production-only tables, views, materialized views, columns, functions, or triggers. One logical schema naming discrepancy remains.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  <w:color w:val="17365D"/>
                <w:sz w:val="17"/>
              </w:rPr>
              <w:t>Object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color w:val="17365D"/>
                <w:sz w:val="17"/>
              </w:rPr>
              <w:t>Production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  <w:color w:val="17365D"/>
                <w:sz w:val="17"/>
              </w:rPr>
              <w:t>Development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Sequence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scheme_reward_slab_id_seq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scheme_slab_id_seq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Primary-key constraint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scheme_reward_slab_pkey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scheme_slab_pkey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Primary-key index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scheme_reward_slab_pkey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scheme_slab_pkey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sz w:val="17"/>
              </w:rPr>
              <w:t>id default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nextval('scheme_reward_slab_id_seq')</w:t>
            </w:r>
          </w:p>
        </w:tc>
        <w:tc>
          <w:tcPr>
            <w:tcW w:type="dxa" w:w="3389"/>
            <w:vAlign w:val="center"/>
          </w:tcPr>
          <w:p>
            <w:r>
              <w:rPr>
                <w:sz w:val="17"/>
              </w:rPr>
              <w:t>nextval('scheme_slab_id_seq')</w:t>
            </w:r>
          </w:p>
        </w:tc>
      </w:tr>
    </w:tbl>
    <w:p>
      <w:pPr>
        <w:spacing w:after="20"/>
      </w:pPr>
    </w:p>
    <w:p>
      <w:r>
        <w:t>Both databases contain scheme_reward_slab with PRIMARY KEY (id), so the logical key is equivalent. The generated object names and sequence dependency are not identical.</w:t>
      </w:r>
    </w:p>
    <w:p>
      <w:r>
        <w:rPr>
          <w:b/>
        </w:rPr>
        <w:t xml:space="preserve">Risk: </w:t>
      </w:r>
      <w:r>
        <w:t>a future Publish could reconcile production to the development names by replacing or renaming production schema objects. Development is not fully schema-identical to production yet.</w:t>
      </w:r>
    </w:p>
    <w:p>
      <w:pPr>
        <w:pStyle w:val="Heading1"/>
      </w:pPr>
      <w:r>
        <w:t>3. Complete schema_migrations comparison</w:t>
      </w:r>
    </w:p>
    <w:p>
      <w:pPr>
        <w:pStyle w:val="Heading2"/>
      </w:pPr>
      <w:r>
        <w:t>Before development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color w:val="17365D"/>
                <w:sz w:val="17"/>
              </w:rPr>
              <w:t>Database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color w:val="17365D"/>
                <w:sz w:val="17"/>
              </w:rPr>
              <w:t>Migration rows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90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Development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89</w:t>
            </w:r>
          </w:p>
        </w:tc>
      </w:tr>
    </w:tbl>
    <w:p>
      <w:pPr>
        <w:spacing w:after="20"/>
      </w:pPr>
    </w:p>
    <w:p>
      <w:pPr>
        <w:spacing w:after="100"/>
        <w:ind w:left="360"/>
      </w:pPr>
      <w:r>
        <w:rPr>
          <w:rFonts w:ascii="Consolas" w:hAnsi="Consolas"/>
          <w:sz w:val="16"/>
        </w:rPr>
        <w:t>Production-only:</w:t>
        <w:br/>
        <w:t xml:space="preserve">  087_register_monthly_ingest_ledger</w:t>
        <w:br/>
        <w:t xml:space="preserve">  088_register_anchor_after_rejection</w:t>
        <w:br/>
        <w:br/>
        <w:t>Development-only:</w:t>
        <w:br/>
        <w:t xml:space="preserve">  009_register_tab_audit</w:t>
      </w:r>
    </w:p>
    <w:p>
      <w:pPr>
        <w:pStyle w:val="Heading2"/>
      </w:pPr>
      <w:r>
        <w:t>After development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color w:val="17365D"/>
                <w:sz w:val="17"/>
              </w:rPr>
              <w:t>Database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color w:val="17365D"/>
                <w:sz w:val="17"/>
              </w:rPr>
              <w:t>Migration rows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Production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90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Development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91</w:t>
            </w:r>
          </w:p>
        </w:tc>
      </w:tr>
    </w:tbl>
    <w:p>
      <w:pPr>
        <w:spacing w:after="20"/>
      </w:pPr>
    </w:p>
    <w:p>
      <w:pPr>
        <w:spacing w:after="100"/>
        <w:ind w:left="360"/>
      </w:pPr>
      <w:r>
        <w:rPr>
          <w:rFonts w:ascii="Consolas" w:hAnsi="Consolas"/>
          <w:sz w:val="16"/>
        </w:rPr>
        <w:t>Production-only migrations: none</w:t>
        <w:br/>
        <w:br/>
        <w:t>Development-only migration:</w:t>
        <w:br/>
        <w:t xml:space="preserve">  009_register_tab_audit</w:t>
      </w:r>
    </w:p>
    <w:p>
      <w:r>
        <w:t>Every migration ID recorded in production is now recorded in development. Both databases also contain 011_register_tab_audit, so development’s 009_register_tab_audit is an additional historical marker rather than an unapplied production migration.</w:t>
      </w:r>
    </w:p>
    <w:p>
      <w:pPr>
        <w:pStyle w:val="Heading1"/>
      </w:pPr>
      <w:r>
        <w:t>4. Publish reconciliation controls</w:t>
      </w:r>
    </w:p>
    <w:p>
      <w:r>
        <w:t>Current Replit documentation does not expose a setting to:</w:t>
      </w:r>
    </w:p>
    <w:p>
      <w:pPr>
        <w:pStyle w:val="ListBullet"/>
        <w:spacing w:after="40"/>
      </w:pPr>
      <w:r>
        <w:t>Disable automatic development-to-production schema reconciliation.</w:t>
      </w:r>
    </w:p>
    <w:p>
      <w:pPr>
        <w:pStyle w:val="ListBullet"/>
        <w:spacing w:after="40"/>
      </w:pPr>
      <w:r>
        <w:t>Force reconciliation to be additive-only.</w:t>
      </w:r>
    </w:p>
    <w:p>
      <w:pPr>
        <w:pStyle w:val="ListBullet"/>
        <w:spacing w:after="40"/>
      </w:pPr>
      <w:r>
        <w:t>Guarantee preservation of production-only tables, columns, constraints, indexes, sequences, functions, or triggers.</w:t>
      </w:r>
    </w:p>
    <w:p>
      <w:r>
        <w:t>Publish applies the development database schema structure to production. Production-only schema objects may therefore be removed or modified.</w:t>
      </w:r>
    </w:p>
    <w:p>
      <w:pPr>
        <w:pStyle w:val="Heading2"/>
      </w:pPr>
      <w:r>
        <w:t>Permanent required workflow</w:t>
      </w:r>
    </w:p>
    <w:p>
      <w:pPr>
        <w:ind w:left="288"/>
      </w:pPr>
      <w:r>
        <w:rPr>
          <w:b/>
        </w:rPr>
        <w:t xml:space="preserve">1. </w:t>
      </w:r>
      <w:r>
        <w:t>Add or update the migration and schema declaration in code.</w:t>
      </w:r>
    </w:p>
    <w:p>
      <w:pPr>
        <w:ind w:left="288"/>
      </w:pPr>
      <w:r>
        <w:rPr>
          <w:b/>
        </w:rPr>
        <w:t xml:space="preserve">2. </w:t>
      </w:r>
      <w:r>
        <w:t>Run the migration against development first.</w:t>
      </w:r>
    </w:p>
    <w:p>
      <w:pPr>
        <w:ind w:left="288"/>
      </w:pPr>
      <w:r>
        <w:rPr>
          <w:b/>
        </w:rPr>
        <w:t xml:space="preserve">3. </w:t>
      </w:r>
      <w:r>
        <w:t>Verify development columns, defaults, nullability, constraints, indexes, sequences, functions, and triggers.</w:t>
      </w:r>
    </w:p>
    <w:p>
      <w:pPr>
        <w:ind w:left="288"/>
      </w:pPr>
      <w:r>
        <w:rPr>
          <w:b/>
        </w:rPr>
        <w:t xml:space="preserve">4. </w:t>
      </w:r>
      <w:r>
        <w:t>Compare the complete development schema against production.</w:t>
      </w:r>
    </w:p>
    <w:p>
      <w:pPr>
        <w:ind w:left="288"/>
      </w:pPr>
      <w:r>
        <w:rPr>
          <w:b/>
        </w:rPr>
        <w:t xml:space="preserve">5. </w:t>
      </w:r>
      <w:r>
        <w:t>Confirm production has no schema object absent from development.</w:t>
      </w:r>
    </w:p>
    <w:p>
      <w:pPr>
        <w:ind w:left="288"/>
      </w:pPr>
      <w:r>
        <w:rPr>
          <w:b/>
        </w:rPr>
        <w:t xml:space="preserve">6. </w:t>
      </w:r>
      <w:r>
        <w:t>Only then publish.</w:t>
      </w:r>
    </w:p>
    <w:p>
      <w:pPr>
        <w:ind w:left="288"/>
      </w:pPr>
      <w:r>
        <w:rPr>
          <w:b/>
        </w:rPr>
        <w:t xml:space="preserve">7. </w:t>
      </w:r>
      <w:r>
        <w:t>After publishing, verify migration records, schema objects, protected row counts and anchors, and application startup health.</w:t>
      </w:r>
    </w:p>
    <w:p>
      <w:r>
        <w:t>Startup-time production migration must not be relied upon to create a production object that development does not already possess, because Publish reconciliation happens before application startup.</w:t>
      </w:r>
    </w:p>
    <w:p>
      <w:pPr>
        <w:pStyle w:val="Heading1"/>
      </w:pPr>
      <w:r>
        <w:t>Publish status</w:t>
      </w:r>
    </w:p>
    <w:p>
      <w:r>
        <w:rPr>
          <w:b/>
          <w:color w:val="C00000"/>
          <w:sz w:val="26"/>
        </w:rPr>
        <w:t>DO NOT PUBLISH YET.</w:t>
      </w:r>
    </w:p>
    <w:p>
      <w:r>
        <w:t>The ledger is aligned and every production migration ID is present in development. However, the scheme_reward_slab primary-key and sequence names still differ. Development is not fully level with production until that discrepancy is deliberately reviewed and aligned.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Prayag Sales Intelligence • Development–Production Schema Alignment • 7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