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277B7"/>
          <w:sz w:val="32"/>
        </w:rPr>
        <w:t>PRAYAG</w:t>
      </w:r>
    </w:p>
    <w:p>
      <w:pPr>
        <w:pStyle w:val="Title"/>
        <w:jc w:val="center"/>
      </w:pPr>
      <w:r>
        <w:t>Prompt 74</w:t>
      </w:r>
    </w:p>
    <w:p>
      <w:pPr>
        <w:jc w:val="center"/>
      </w:pPr>
      <w:r>
        <w:rPr>
          <w:color w:val="46505A"/>
          <w:sz w:val="32"/>
        </w:rPr>
        <w:t>Publish Verification and Product Grouping Sweep</w:t>
      </w:r>
    </w:p>
    <w:p>
      <w:pP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Report date</w:t>
            </w:r>
          </w:p>
        </w:tc>
        <w:tc>
          <w:tcPr>
            <w:tcW w:type="dxa" w:w="432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60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Standing rule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 September 2026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Section A: verified publication and Git alignment</w:t>
              <w:br/>
              <w:t>Section B: read-only grouping survey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figure identifies its database or source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b/>
        </w:rPr>
        <w:t>Decision standard</w:t>
      </w:r>
      <w:r>
        <w:br/>
        <w:t>Six masters everywhere a product master is intended; sub-category below.</w:t>
        <w:br/>
        <w:t>PLUMBING · PTMT · C P · SANITARYWARE · SINK · HARDWARE</w:t>
      </w:r>
    </w:p>
    <w:p>
      <w:pPr>
        <w:pStyle w:val="SmallNote"/>
        <w:spacing w:after="100"/>
        <w:ind w:left="216"/>
      </w:pPr>
      <w:r>
        <w:t>Water Tank sits inside PLUMBING. Scheme eligibility remains a separate controlled vocabulary and is not remapped by this report.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  <w:spacing w:after="40"/>
      </w:pPr>
      <w:r>
        <w:t>The deployment is healthy and public at https://prayag-sales.com.</w:t>
      </w:r>
    </w:p>
    <w:p>
      <w:pPr>
        <w:pStyle w:val="ListBullet"/>
        <w:spacing w:after="40"/>
      </w:pPr>
      <w:r>
        <w:t>Published workspace commit and origin/main both equal 60bc8f1fcb3922449e000176f588dcc246c72236.</w:t>
      </w:r>
    </w:p>
    <w:p>
      <w:pPr>
        <w:pStyle w:val="ListBullet"/>
        <w:spacing w:after="40"/>
      </w:pPr>
      <w:r>
        <w:t>Karnataka Report 2 renders Apr–Aug in fiscal order; Apr is “new”; Aug growth is +754.6%.</w:t>
      </w:r>
    </w:p>
    <w:p>
      <w:pPr>
        <w:pStyle w:val="ListBullet"/>
        <w:spacing w:after="40"/>
      </w:pPr>
      <w:r>
        <w:t>No production Report 4 item drill currently exceeds 5,000 rows; the largest measured scope has 800 rows.</w:t>
      </w:r>
    </w:p>
    <w:p>
      <w:pPr>
        <w:pStyle w:val="ListBullet"/>
        <w:spacing w:after="40"/>
      </w:pPr>
      <w:r>
        <w:t>Company Reports and Distributor Deep Dive D3 now use the six canonical masters at the headline level.</w:t>
      </w:r>
    </w:p>
    <w:p>
      <w:pPr>
        <w:pStyle w:val="ListBullet"/>
        <w:spacing w:after="40"/>
      </w:pPr>
      <w:r>
        <w:t>Confirmed remaining old-17 dependencies include SKU Deep Dive, Comparison segment mode, Growth group margins, Customer Performance, the primary target engine, management margin payloads, and segment sections of full AI reports.</w:t>
      </w:r>
    </w:p>
    <w:p>
      <w:pPr>
        <w:pStyle w:val="ListBullet"/>
        <w:spacing w:after="40"/>
      </w:pPr>
      <w:r>
        <w:t>The highest-risk mixed metric is the AI Growth Report’s use of a primary-sales peer median with a secondary-segment denominator.</w:t>
      </w:r>
    </w:p>
    <w:p>
      <w:pPr>
        <w:pStyle w:val="ListBullet"/>
        <w:spacing w:after="40"/>
      </w:pPr>
      <w:r>
        <w:t>Scheme eligibility uses a separate 22-value vocabulary. It must be migrated only through a separately approved item-code crosswalk.</w:t>
      </w:r>
    </w:p>
    <w:p>
      <w:pPr>
        <w:pStyle w:val="Heading1"/>
      </w:pPr>
      <w:r>
        <w:t>Section A — publication and repository verification</w:t>
      </w:r>
    </w:p>
    <w:p>
      <w:pPr>
        <w:pStyle w:val="Heading2"/>
      </w:pPr>
      <w:r>
        <w:t>Deployment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8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Verified result</w:t>
            </w:r>
          </w:p>
        </w:tc>
        <w:tc>
          <w:tcPr>
            <w:tcW w:type="dxa" w:w="302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URL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https://prayag-sales.com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Replit deployment metadata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Successful VM deployment; public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Replit deployment metadata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Published workspace commit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60bc8f1fcb3922449e000176f588dcc246c72236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Git commit object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origin/main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60bc8f1fcb3922449e000176f588dcc246c72236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Git remote-tracking ref after push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Exact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Git rev-parse and cat-file verification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Worktree</w:t>
            </w:r>
          </w:p>
        </w:tc>
        <w:tc>
          <w:tcPr>
            <w:tcW w:type="dxa" w:w="51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Clean after publish/push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Git status</w:t>
            </w:r>
          </w:p>
        </w:tc>
      </w:tr>
    </w:tbl>
    <w:p>
      <w:pPr>
        <w:spacing w:after="0"/>
      </w:pPr>
    </w:p>
    <w:p>
      <w:pPr>
        <w:pStyle w:val="Heading2"/>
      </w:pPr>
      <w:r>
        <w:t>Commit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Commit</w:t>
            </w:r>
          </w:p>
        </w:tc>
        <w:tc>
          <w:tcPr>
            <w:tcW w:type="dxa" w:w="216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67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Contents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5fce4d1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Behavior-changing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Company Reports drill-downs, URL state, workbook split, six-master grouping, Distributor D3 grouping migration and tests.</w:t>
            </w:r>
          </w:p>
        </w:tc>
      </w:tr>
      <w:tr>
        <w:tc>
          <w:tcPr>
            <w:tcW w:type="dxa" w:w="15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87c580b</w:t>
            </w:r>
          </w:p>
        </w:tc>
        <w:tc>
          <w:tcPr>
            <w:tcW w:type="dxa" w:w="216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Behavior-changing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 2 fiscal month order, one-decimal growth, “new” state, loading spinner and focused tests.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60bc8f1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Publish marker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Publish marker and attached Prompt 74 file; no application behavior change.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Report 2 — KARNATAKA</w:t>
      </w:r>
    </w:p>
    <w:p>
      <w:pPr>
        <w:pStyle w:val="SmallNote"/>
        <w:spacing w:after="100"/>
        <w:ind w:left="216"/>
      </w:pPr>
      <w:r>
        <w:t>Figure source: production PostgreSQL sale_line_current. Stored territory KARNATAKA (B) is normalized by the application to KARNATAKA. Display amounts follow the deployed ₹ crore formatter.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58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Month</w:t>
            </w:r>
          </w:p>
        </w:tc>
        <w:tc>
          <w:tcPr>
            <w:tcW w:type="dxa" w:w="201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FY 2026–27</w:t>
            </w:r>
          </w:p>
        </w:tc>
        <w:tc>
          <w:tcPr>
            <w:tcW w:type="dxa" w:w="201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FY 2025–26</w:t>
            </w:r>
          </w:p>
        </w:tc>
        <w:tc>
          <w:tcPr>
            <w:tcW w:type="dxa" w:w="201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Difference</w:t>
            </w:r>
          </w:p>
        </w:tc>
        <w:tc>
          <w:tcPr>
            <w:tcW w:type="dxa" w:w="172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Growth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Apr-26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₹0.65 Cr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—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+₹0.65 Cr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new</w:t>
            </w:r>
          </w:p>
        </w:tc>
      </w:tr>
      <w:tr>
        <w:tc>
          <w:tcPr>
            <w:tcW w:type="dxa" w:w="15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May-26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₹0.34 Cr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₹0.16 Cr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+₹0.17 Cr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+106.4%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Jun-26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₹0.19 Cr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₹0.06 Cr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+₹0.13 Cr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+201.8%</w:t>
            </w:r>
          </w:p>
        </w:tc>
      </w:tr>
      <w:tr>
        <w:tc>
          <w:tcPr>
            <w:tcW w:type="dxa" w:w="158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Jul-26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₹0.42 Cr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₹0.11 Cr</w:t>
            </w:r>
          </w:p>
        </w:tc>
        <w:tc>
          <w:tcPr>
            <w:tcW w:type="dxa" w:w="201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+₹0.30 Cr</w:t>
            </w:r>
          </w:p>
        </w:tc>
        <w:tc>
          <w:tcPr>
            <w:tcW w:type="dxa" w:w="172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+261.6%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Aug-26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₹0.92 Cr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₹0.10 Cr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+₹0.81 Cr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+754.6%</w:t>
            </w:r>
          </w:p>
        </w:tc>
      </w:tr>
    </w:tbl>
    <w:p>
      <w:pPr>
        <w:spacing w:after="0"/>
      </w:pPr>
    </w:p>
    <w:p>
      <w:pPr>
        <w:pStyle w:val="Heading2"/>
      </w:pPr>
      <w:r>
        <w:t>Report 4 depth and truncation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32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302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Largest current drill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800 item rows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PostgreSQL sale_line_current + effective canonical_item_category_registry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Largest scope</w:t>
            </w:r>
          </w:p>
        </w:tc>
        <w:tc>
          <w:tcPr>
            <w:tcW w:type="dxa" w:w="532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Madhya Pradesh → Progressive Marketing (Bhopal) → Unmapped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grouped item-depth query, paired Apr–Aug periods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Configured cap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5,000 rows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Deployed Report 4 route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Currently truncated scope</w:t>
            </w:r>
          </w:p>
        </w:tc>
        <w:tc>
          <w:tcPr>
            <w:tcW w:type="dxa" w:w="532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None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Production grouped item-depth query</w:t>
            </w:r>
          </w:p>
        </w:tc>
      </w:tr>
    </w:tbl>
    <w:p>
      <w:pPr>
        <w:spacing w:after="0"/>
      </w:pPr>
    </w:p>
    <w:p>
      <w:pPr>
        <w:pStyle w:val="SmallNote"/>
        <w:spacing w:after="100"/>
        <w:ind w:left="216"/>
      </w:pPr>
      <w:r>
        <w:t>The future &gt;5,000 path remains explicit: totalRows is returned, reconciliation is incomplete, and the UI labels the delta “Mismatch (Truncated)”.</w:t>
      </w:r>
    </w:p>
    <w:p>
      <w:pPr>
        <w:pStyle w:val="Heading2"/>
      </w:pPr>
      <w:r>
        <w:t>Calculation-change confirmation</w:t>
      </w:r>
    </w:p>
    <w:p>
      <w:pPr>
        <w:pStyle w:val="ListBullet"/>
        <w:spacing w:after="40"/>
      </w:pPr>
      <w:r>
        <w:t>Changed: row ordering, percentage formatting, zero-prior presentation and loading presentation.</w:t>
      </w:r>
    </w:p>
    <w:p>
      <w:pPr>
        <w:pStyle w:val="ListBullet"/>
        <w:spacing w:after="40"/>
      </w:pPr>
      <w:r>
        <w:t>Unchanged: database query, API totals, rupee amounts, differences, growth arithmetic and reconciliation calculations.</w:t>
      </w:r>
    </w:p>
    <w:p>
      <w:r>
        <w:br w:type="page"/>
      </w:r>
    </w:p>
    <w:p>
      <w:pPr>
        <w:pStyle w:val="Heading1"/>
      </w:pPr>
      <w:r>
        <w:t>Section B — read-only product grouping survey</w:t>
      </w:r>
    </w:p>
    <w:p>
      <w:pPr>
        <w:pStyle w:val="SmallNote"/>
        <w:spacing w:after="100"/>
        <w:ind w:left="216"/>
      </w:pPr>
      <w:r>
        <w:t>No code or data was changed during this survey. Source basis: current repository code after publication.</w:t>
      </w:r>
    </w:p>
    <w:p>
      <w:pPr>
        <w:pStyle w:val="Heading2"/>
      </w:pPr>
      <w:r>
        <w:t>B4 — mixed-taxonomy findings</w:t>
      </w:r>
    </w:p>
    <w:p>
      <w:pPr>
        <w:pStyle w:val="Heading3"/>
      </w:pPr>
      <w:r>
        <w:t>Confirmed problematic metric-level mix</w:t>
      </w:r>
    </w:p>
    <w:p>
      <w:r>
        <w:rPr>
          <w:b/>
        </w:rPr>
        <w:t xml:space="preserve">AI Growth Report segment/breadth payload. </w:t>
      </w:r>
      <w:r>
        <w:t>A primary-sales peer median is combined with a secondary segment_canon count inside one derived analysis. This is a real denominator/source mix, not merely two labelled sections displayed together. Source: aiGrowthReport.ts segment/breadth builder.</w:t>
      </w:r>
    </w:p>
    <w:p>
      <w:pPr>
        <w:pStyle w:val="Heading3"/>
      </w:pPr>
      <w:r>
        <w:t>High-risk composite payloads</w:t>
      </w:r>
    </w:p>
    <w:p>
      <w:pPr>
        <w:pStyle w:val="ListNumber"/>
        <w:spacing w:after="40"/>
      </w:pPr>
      <w:r>
        <w:t>Full distributor AI report: primary sale_line_current segment statistics, member-sheet reach, secondary SKU/lost-code evidence and the separate scheme vocabulary coexist without a universal typed basis contract.</w:t>
      </w:r>
    </w:p>
    <w:p>
      <w:pPr>
        <w:pStyle w:val="ListNumber"/>
        <w:spacing w:after="40"/>
      </w:pPr>
      <w:r>
        <w:t>A1/A2 AI payloads: secondary order booking, primary/direct-dealer booking, sales received, visits, member-sheet coverage and SKU spread coexist as distinct business populations.</w:t>
      </w:r>
    </w:p>
    <w:p>
      <w:pPr>
        <w:pStyle w:val="ListNumber"/>
        <w:spacing w:after="40"/>
      </w:pPr>
      <w:r>
        <w:t>Scheme sections inside full reports: scheme item_group is returned beside legacy sales-segment fields; matching labels must not be assumed to mean matching vocabularies.</w:t>
      </w:r>
    </w:p>
    <w:p>
      <w:pPr>
        <w:pStyle w:val="Heading3"/>
      </w:pPr>
      <w:r>
        <w:t>Intentional mixed-detail views</w:t>
      </w:r>
    </w:p>
    <w:p>
      <w:pPr>
        <w:pStyle w:val="ListBullet"/>
        <w:spacing w:after="40"/>
      </w:pPr>
      <w:r>
        <w:t>Company Report 4 — registry master/sub-category plus raw group evidence for unit handling.</w:t>
      </w:r>
    </w:p>
    <w:p>
      <w:pPr>
        <w:pStyle w:val="ListBullet"/>
        <w:spacing w:after="40"/>
      </w:pPr>
      <w:r>
        <w:t>Distributor D3 — six-master headline plus expandable legacy source-segment evidence.</w:t>
      </w:r>
    </w:p>
    <w:p>
      <w:pPr>
        <w:pStyle w:val="ListBullet"/>
        <w:spacing w:after="40"/>
      </w:pPr>
      <w:r>
        <w:t>Products — registry master grouping plus separately labelled MRP conflict metadata.</w:t>
      </w:r>
    </w:p>
    <w:p>
      <w:pPr>
        <w:pStyle w:val="ListBullet"/>
        <w:spacing w:after="40"/>
      </w:pPr>
      <w:r>
        <w:t>Sales Deep Dive export — raw bySegment, mapped byGroup and primary item-code sections remain separate.</w:t>
      </w:r>
    </w:p>
    <w:p>
      <w:pPr>
        <w:pStyle w:val="ListBullet"/>
        <w:spacing w:after="40"/>
      </w:pPr>
      <w:r>
        <w:t>MRP pages — raw MRP division plus mapped application segment.</w:t>
      </w:r>
    </w:p>
    <w:p>
      <w:pPr>
        <w:pStyle w:val="ListBullet"/>
        <w:spacing w:after="40"/>
      </w:pPr>
      <w:r>
        <w:t>Alerts — raw CRM Category Name is normalized into segmentCanon; unmapped rows remain explicit.</w:t>
      </w:r>
    </w:p>
    <w:p>
      <w:pPr>
        <w:pStyle w:val="SmallNote"/>
        <w:spacing w:after="100"/>
        <w:ind w:left="216"/>
      </w:pPr>
      <w:r>
        <w:t>No table was found presenting a registry-master total and an old-17 group_canon total as equivalent competing aggregate columns. Company Report 4 and Distributor D3 carry both only as result plus labelled source evidence.</w:t>
      </w:r>
    </w:p>
    <w:p>
      <w:pPr>
        <w:pStyle w:val="Heading2"/>
      </w:pPr>
      <w:r>
        <w:t>B1 — complete surface inventory</w:t>
      </w:r>
    </w:p>
    <w:p>
      <w:pPr>
        <w:pStyle w:val="SmallNote"/>
        <w:spacing w:after="100"/>
        <w:ind w:left="216"/>
      </w:pPr>
      <w:r>
        <w:t>M6 = six-master registry; L17 = old sale_line.group_canon; SEG = secondary segment/brand axis; MRP = MRP division/category; CRM = Product-Wise Category Name/segmentCanon; SCH22 = scheme vocabulary; SRC = source-owned grouping without an approved master equivalence.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67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Current taxonomy / axis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Overview KPIs / sales chart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product grouping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Overview Product Mix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SRC snapshot/order-book group; authority not declared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Growth monthly/customer/head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product grouping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Growth Margins by Group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Momentum monthly orders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product grouping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Momentum Order Groups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SRC secondary/order-book snapshot group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Regional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State/head/retailer axes; no product grouping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Products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M6 → registry sub-category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SKU Deep Dive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 with MRP/catalogue evidence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Sales Deep Dive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People/retailer axes; distinct raw segment, mapped group and item-code export sections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Distributor D1/D2/D4/D6/D7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Distributor/retailer/flow/investment/capacity axes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Distributor D3 headline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M6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Distributor D3 evidence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SEG/legacy source segment under M6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1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→ party; no product grouping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2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→ month; no product grouping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3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M6 → registry sub-category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3A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→ M6 → registry sub-category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3B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→ party → M6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4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→ party → M6 → item; raw group for unit evidence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5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 → M6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6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M6 → registry sub-category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Report 7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State/master → party using M6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Comparison — segment mode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Comparison — other modes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Company/head/member/distributor/retailer/item-code axes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 Orders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Raw order-booking segment plus status/head/state/customer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 Performance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State Head → member; no product category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Pending Orders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SRC factory product group; pieces plus separate ₹ cross-check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User-entered Targets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Channel/plan fields; no product grouping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target engine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 through group_canon/group_raw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Secondary person target engine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Item-master group through management mapper; secondary basis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MRP pages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MRP raw division → mapped app segment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Market Survey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Survey meta segment linked to MRP/item lookup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Alerts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CRM raw Category Name → segmentCanon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Warning System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Member/distributor/retailer aggregates; no direct product category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 Health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Generic audit groups and configured anchors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 Performance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Management margin payloads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 per head/group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A1/A2 AI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Mixed source populations; inherits underlying SKU/segment bases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Full distributor/state-head AI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 primary segment statistics plus secondary and SCH22 sections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Growth Report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L17/SEG-derived analysis including mixed denominator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state-head artifacts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Inherit source payload taxonomy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distributor artifacts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Inherit distributor/full-report taxonomy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 batch/chat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Dynamic consumers; no independent guarantee found</w:t>
            </w:r>
          </w:p>
        </w:tc>
      </w:tr>
      <w:tr>
        <w:tc>
          <w:tcPr>
            <w:tcW w:type="dxa" w:w="38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Scheme cockpit/nudges/success</w:t>
            </w:r>
          </w:p>
        </w:tc>
        <w:tc>
          <w:tcPr>
            <w:tcW w:type="dxa" w:w="67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SCH22, intentionally separate</w:t>
            </w:r>
          </w:p>
        </w:tc>
      </w:tr>
    </w:tbl>
    <w:p>
      <w:pPr>
        <w:spacing w:after="0"/>
      </w:pPr>
    </w:p>
    <w:p>
      <w:pPr>
        <w:pStyle w:val="Heading2"/>
      </w:pPr>
      <w:r>
        <w:t>B2 — remaining old-17 surfaces and change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705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changes under M6</w:t>
            </w:r>
          </w:p>
        </w:tc>
        <w:tc>
          <w:tcPr>
            <w:tcW w:type="dxa" w:w="1152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SKU Deep Dive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 count, NET, quantity, share, bought/unbought codes, gap NET, breadth numerator/denominator, peer ranks, whitespace, push recommendations and AI narrative. Item-code totals stay unchanged; membership changes.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Comparison segment mode</w:t>
            </w:r>
          </w:p>
        </w:tc>
        <w:tc>
          <w:tcPr>
            <w:tcW w:type="dxa" w:w="705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Selector values, rows, trends, ranks, quadrants, suggestions and Excel/PDF segment exports. Other entity modes are unaffected.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Growth Margins by Group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Group revenue, margin allocation, ranking and export rows. Overall revenue/margin remain stable.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Medium-high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Customer Performance</w:t>
            </w:r>
          </w:p>
        </w:tc>
        <w:tc>
          <w:tcPr>
            <w:tcW w:type="dxa" w:w="705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Category units/sales, customer/category Laspeyres indices, mix effects, projections and drill membership. Company totals should remain stable.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target engine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 baselines, growth-split weights, old/new-SKU route allocation, opportunity pools and generated target splits.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Full AI reports / SKU AI</w:t>
            </w:r>
          </w:p>
        </w:tc>
        <w:tc>
          <w:tcPr>
            <w:tcW w:type="dxa" w:w="705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Segment totals, shares, medians, ranks, recommendations and narrative.</w:t>
            </w:r>
          </w:p>
        </w:tc>
        <w:tc>
          <w:tcPr>
            <w:tcW w:type="dxa" w:w="1152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Medium-high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Management margin payloads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Per-head/per-group revenue and margin; overall head totals should remain stable.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Medium-high</w:t>
            </w:r>
          </w:p>
        </w:tc>
      </w:tr>
    </w:tbl>
    <w:p>
      <w:pPr>
        <w:spacing w:after="0"/>
      </w:pPr>
    </w:p>
    <w:p>
      <w:r>
        <w:rPr>
          <w:b/>
        </w:rPr>
        <w:t xml:space="preserve">CP case. </w:t>
      </w:r>
      <w:r>
        <w:t>The old CP (Chrome-Plated) category becomes master C P with three sub-categories beneath it. Top-level rows merge into C P while detail moves to sub-category. This changes denominators and rankings wherever L17 is used.</w:t>
      </w:r>
    </w:p>
    <w:p>
      <w:pPr>
        <w:pStyle w:val="SmallNote"/>
        <w:spacing w:after="100"/>
        <w:ind w:left="216"/>
      </w:pPr>
      <w:r>
        <w:t>Overview Product Mix and Momentum Order Groups remain unresolved SRC vocabularies. Confirm their snapshot/order-book authority before any remap.</w:t>
      </w:r>
    </w:p>
    <w:p>
      <w:pPr>
        <w:pStyle w:val="Heading2"/>
      </w:pPr>
      <w:r>
        <w:t>B3 — secondary segment axes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Field/surface</w:t>
            </w:r>
          </w:p>
        </w:tc>
        <w:tc>
          <w:tcPr>
            <w:tcW w:type="dxa" w:w="3024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Axis</w:t>
            </w:r>
          </w:p>
        </w:tc>
        <w:tc>
          <w:tcPr>
            <w:tcW w:type="dxa" w:w="460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secondary_sku_line.segment_canon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CRM/Product-Wise segment axis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for secondary transactions and alerts; not equivalent to M6.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secondary_register_line.brand_canon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brand/product-line proxy</w:t>
            </w:r>
          </w:p>
        </w:tc>
        <w:tc>
          <w:tcPr>
            <w:tcW w:type="dxa" w:w="46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for spread, HHI and cross-sell; not item-code SKU coverage.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Orders raw segment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Order-booking source segment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if labelled as booking-source segment.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Distributor D3 source detail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Legacy/raw evidence beneath M6</w:t>
            </w:r>
          </w:p>
        </w:tc>
        <w:tc>
          <w:tcPr>
            <w:tcW w:type="dxa" w:w="46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Correct; unknown values must remain unmapped.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Alerts segmentCanon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Normalized CRM axis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for the current alert family; changing it changes alert eligibility.</w:t>
            </w:r>
          </w:p>
        </w:tc>
      </w:tr>
      <w:tr>
        <w:tc>
          <w:tcPr>
            <w:tcW w:type="dxa" w:w="316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Pending Orders product group</w:t>
            </w:r>
          </w:p>
        </w:tc>
        <w:tc>
          <w:tcPr>
            <w:tcW w:type="dxa" w:w="3024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Factory operational grouping</w:t>
            </w:r>
          </w:p>
        </w:tc>
        <w:tc>
          <w:tcPr>
            <w:tcW w:type="dxa" w:w="46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source grouping; no approved equivalence to M6/L17/SCH22.</w:t>
            </w:r>
          </w:p>
        </w:tc>
      </w:tr>
    </w:tbl>
    <w:p>
      <w:pPr>
        <w:spacing w:after="0"/>
      </w:pPr>
    </w:p>
    <w:p>
      <w:pPr>
        <w:pStyle w:val="Heading2"/>
      </w:pPr>
      <w:r>
        <w:t>Scheme vocabulary barrier</w:t>
      </w:r>
    </w:p>
    <w:p>
      <w:r>
        <w:rPr>
          <w:b/>
        </w:rPr>
        <w:t xml:space="preserve">SCH22 values: </w:t>
      </w:r>
      <w:r>
        <w:t>AGRI, CABINET, CISTERN, CONECTION, CONNECTION, C P, CP, CP ACCESSORIES, CP ALLIED, CPVC, FLOOR TRAP, GLASS, PLATE RACK, PPR, PTMT, QUAA, SANITARYWARE, SEAT COVER, SINK, SWR, UPVC, WASTE PIPE.</w:t>
      </w:r>
    </w:p>
    <w:p>
      <w:pPr>
        <w:pStyle w:val="SmallNote"/>
        <w:spacing w:after="100"/>
        <w:ind w:left="216"/>
      </w:pPr>
      <w:r>
        <w:t>CONECTION and CONNECTION are distinct seeded values. Do not alter eligibility, billed-so-far, slab, gap, extra earnings or scheme cost without a separately approved item-code-to-scheme crosswalk and reconciliation.</w:t>
      </w:r>
    </w:p>
    <w:p>
      <w:pPr>
        <w:pStyle w:val="Heading2"/>
      </w:pPr>
      <w:r>
        <w:t>B5 — risk-sequenced move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Sequence</w:t>
            </w:r>
          </w:p>
        </w:tc>
        <w:tc>
          <w:tcPr>
            <w:tcW w:type="dxa" w:w="8208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control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Display-only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vocabulary/source/population/period/denominator labels. Preserve Unmapped and partial coverage. Clarify that secondary brand spread is not item-code SKU coverage.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Low-to-medium figure risk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 Growth and management margins from L17 to M6; reconcile overall revenue and margin and retain sub-category.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analytical risk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 Customer Performance; reconcile category Laspeyres indices, mix effects and projections while company/customer totals remain stable.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decision risk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 Comparison segment mode and SKU Deep Dive; recompute breadth, gaps, peer ranks, push lists and exports; handle CP consolidation explicitly.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Targets and AI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Migrate primary target segmentation only after baseline/route reconciliation. Add typed basis fields to AI metrics and fix the Growth mixed denominator.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 before/after alert counts, affected products, severity reconciliation and historical-comparability rules.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Schemes last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Resolve spelling duplicates, approve item-code mappings, validate territory/audience/channel and sale-vs-booking basis, then consider monetary changes.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Source-code evidence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776"/>
            <w:vAlign w:val="center"/>
            <w:shd w:fill="24577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code evidence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Canonical Products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artifacts/api-server/src/routes/productReports.ts; artifacts/prayag/src/components/dashboard/Products.tsx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Company Reports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artifacts/api-server/src/lib/companyReports.ts; artifacts/api-server/src/routes/companyReports.ts; CompanyReports.tsx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SKU Deep Dive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artifacts/api-server/src/lib/sku/catalogue.ts; SkuOverview.tsx; SkuDrill.tsx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Comparison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artifacts/api-server/src/lib/comparison; ComparisonDeepDive.tsx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Growth margins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artifacts/api-server/src/lib/analytics/analytics.ts; Growth.tsx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Performance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artifacts/api-server/src/lib/customers/analytics.ts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artifacts/api-server/src/lib/mgmt/targetEngine.ts; targetEngineSecondary.ts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Distributor D3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artifacts/api-server/src/lib/mgmt/distributorSkuSpread.ts; DistributorDeepDive.tsx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Secondary reports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artifacts/api-server/src/lib/mgmt/orders.ts; salesReports.ts; skuSpread.ts; groups.ts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MRP / Market Survey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artifacts/api-server/src/lib/mrp/loader.ts; routes/mrp.ts; MarketSurveyPage.tsx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Alerts / Data Health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artifacts/api-server/src/lib/redAlert; AlertsPage.tsx; DataHealth.tsx; audit_anchors.json</w:t>
            </w:r>
          </w:p>
        </w:tc>
      </w:tr>
      <w:tr>
        <w:tc>
          <w:tcPr>
            <w:tcW w:type="dxa" w:w="288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 families</w:t>
            </w:r>
          </w:p>
        </w:tc>
        <w:tc>
          <w:tcPr>
            <w:tcW w:type="dxa" w:w="7776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routes/aiPayload.ts; aiReport.ts; aiFullReport.ts; aiGrowthReport.ts; aiArtifacts.ts; aiDistributorArtifacts.ts; aiBatch.ts; aiChat.ts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Schemes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artifacts/api-server/src/lib/schemes/schemeSeedData.ts; nudge.ts; routes/schemes.ts</w:t>
            </w:r>
          </w:p>
        </w:tc>
      </w:tr>
    </w:tbl>
    <w:p>
      <w:pPr>
        <w:spacing w:after="0"/>
      </w:pPr>
    </w:p>
    <w:p>
      <w:pPr>
        <w:pStyle w:val="SmallNote"/>
        <w:spacing w:after="100"/>
        <w:ind w:left="216"/>
      </w:pPr>
      <w:r>
        <w:t>This report is a source survey, not a migration. Section B made no code or data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Prayag Sales Intelligence  •  12 September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PRAYAG SALES INTELLIGENCE  |  PROMPT 74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7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0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25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646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