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2F5597"/>
          <w:sz w:val="24"/>
        </w:rPr>
        <w:t>PROMPT 92</w:t>
      </w:r>
    </w:p>
    <w:p>
      <w:pPr>
        <w:jc w:val="center"/>
      </w:pPr>
      <w:r>
        <w:rPr>
          <w:b/>
          <w:color w:val="17365D"/>
          <w:sz w:val="56"/>
        </w:rPr>
        <w:t>AI Schemes</w:t>
      </w:r>
    </w:p>
    <w:p>
      <w:pPr>
        <w:jc w:val="center"/>
      </w:pPr>
      <w:r>
        <w:rPr>
          <w:color w:val="4472C4"/>
          <w:sz w:val="32"/>
        </w:rPr>
        <w:t>Section A — Read-Only Feasibility Report</w:t>
      </w:r>
    </w:p>
    <w:p>
      <w:pPr>
        <w:spacing w:after="80"/>
      </w:pPr>
      <w:r>
        <w:rPr>
          <w:b w:val="0"/>
          <w:i w:val="0"/>
        </w:rPr>
      </w:r>
    </w:p>
    <w:p>
      <w:pPr>
        <w:jc w:val="center"/>
      </w:pPr>
      <w:r>
        <w:rPr>
          <w:b/>
        </w:rPr>
        <w:t>Analysis date: 14 September 2026</w:t>
        <w:br/>
      </w:r>
      <w:r>
        <w:t>Production evidence; no code, configuration, schema, or data changed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Borders>
              <w:top w:val="single" w:sz="4" w:color="70AD47"/>
              <w:left w:val="single" w:sz="4" w:color="70AD47"/>
              <w:bottom w:val="single" w:sz="4" w:color="70AD47"/>
              <w:right w:val="single" w:sz="4" w:color="70AD47"/>
              <w:insideH w:val="single" w:sz="4" w:color="70AD47"/>
              <w:insideV w:val="single" w:sz="4" w:color="70AD47"/>
            </w:tcBorders>
          </w:tcPr>
          <w:p>
            <w:pPr>
              <w:jc w:val="center"/>
            </w:pPr>
            <w:r>
              <w:rPr>
                <w:b/>
                <w:color w:val="385723"/>
                <w:sz w:val="22"/>
              </w:rPr>
              <w:t>VERDICT: The core premise is confirmed more strongly than estimated. E2 and E3 are feasible. E4 requires geography coverage work before universal use.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  <w:spacing w:after="40"/>
      </w:pPr>
      <w:r>
        <w:t>Distribution breadth is the dominant difference between top and scarce SKUs. Average retailer reach differs by 223× in FY2025–26 and about 175× in FY2026–27 to date.</w:t>
      </w:r>
    </w:p>
    <w:p>
      <w:pPr>
        <w:pStyle w:val="ListBullet"/>
        <w:spacing w:after="40"/>
      </w:pPr>
      <w:r>
        <w:t>The measured median positive retailer–SKU pair is about ₹3,500, below the estimated ₹4,568. The full pair-value distribution should be retained rather than hard-coding one marginal value.</w:t>
      </w:r>
    </w:p>
    <w:p>
      <w:pPr>
        <w:pStyle w:val="ListBullet"/>
        <w:spacing w:after="40"/>
      </w:pPr>
      <w:r>
        <w:t>The authoritative current catalogue contains 6,109 codes. Dormant counts must use mrp_current_catalogue, not the 11,368-code legacy item master.</w:t>
      </w:r>
    </w:p>
    <w:p>
      <w:pPr>
        <w:pStyle w:val="ListBullet"/>
        <w:spacing w:after="40"/>
      </w:pPr>
      <w:r>
        <w:t>Usable margin coverage reaches 83.20% of FY2026–27 secondary value after the PTMT hold is respected. Unknown or held margin must suppress proposals.</w:t>
      </w:r>
    </w:p>
    <w:p>
      <w:pPr>
        <w:pStyle w:val="ListBullet"/>
        <w:spacing w:after="40"/>
      </w:pPr>
      <w:r>
        <w:t>Same-state peer sets are statistically viable where geography is known, but state coverage reaches only 46.27% of current retailers after an unambiguous distributor bridge.</w:t>
      </w:r>
    </w:p>
    <w:p>
      <w:pPr>
        <w:pStyle w:val="Heading1"/>
      </w:pPr>
      <w:r>
        <w:t>A1. Pair matrix</w:t>
      </w:r>
    </w:p>
    <w:p>
      <w:pPr>
        <w:spacing w:after="80"/>
      </w:pPr>
      <w:r>
        <w:rPr>
          <w:b w:val="0"/>
          <w:i w:val="0"/>
        </w:rPr>
        <w:t>Definition: one positive-value retailer × item-code combination. Retailer identity uses RET# when available and normalized retailer name otherwise.</w:t>
      </w:r>
    </w:p>
    <w:p>
      <w:pPr>
        <w:spacing w:after="80"/>
      </w:pPr>
      <w:r>
        <w:rPr>
          <w:b w:val="0"/>
          <w:i/>
          <w:color w:val="666666"/>
          <w:sz w:val="17"/>
        </w:rPr>
        <w:t>Source: production secondary_sku_line; value = SUM(net_amount).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FY</w:t>
            </w:r>
          </w:p>
        </w:tc>
        <w:tc>
          <w:tcPr>
            <w:tcW w:type="dxa" w:w="1461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Distinct pairs</w:t>
            </w:r>
          </w:p>
        </w:tc>
        <w:tc>
          <w:tcPr>
            <w:tcW w:type="dxa" w:w="1461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Active retailers</w:t>
            </w:r>
          </w:p>
        </w:tc>
        <w:tc>
          <w:tcPr>
            <w:tcW w:type="dxa" w:w="1461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SKUs</w:t>
            </w:r>
          </w:p>
        </w:tc>
        <w:tc>
          <w:tcPr>
            <w:tcW w:type="dxa" w:w="1461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Pair density</w:t>
            </w:r>
          </w:p>
        </w:tc>
        <w:tc>
          <w:tcPr>
            <w:tcW w:type="dxa" w:w="1461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Median pair</w:t>
            </w:r>
          </w:p>
        </w:tc>
        <w:tc>
          <w:tcPr>
            <w:tcW w:type="dxa" w:w="1461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Average pair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2025–26</w:t>
            </w:r>
          </w:p>
        </w:tc>
        <w:tc>
          <w:tcPr>
            <w:tcW w:type="dxa" w:w="14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238,005</w:t>
            </w:r>
          </w:p>
        </w:tc>
        <w:tc>
          <w:tcPr>
            <w:tcW w:type="dxa" w:w="14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8,898</w:t>
            </w:r>
          </w:p>
        </w:tc>
        <w:tc>
          <w:tcPr>
            <w:tcW w:type="dxa" w:w="14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4,053</w:t>
            </w:r>
          </w:p>
        </w:tc>
        <w:tc>
          <w:tcPr>
            <w:tcW w:type="dxa" w:w="14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0.6600%</w:t>
            </w:r>
          </w:p>
        </w:tc>
        <w:tc>
          <w:tcPr>
            <w:tcW w:type="dxa" w:w="14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₹3,468</w:t>
            </w:r>
          </w:p>
        </w:tc>
        <w:tc>
          <w:tcPr>
            <w:tcW w:type="dxa" w:w="14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₹9,710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2026–27</w:t>
            </w:r>
          </w:p>
        </w:tc>
        <w:tc>
          <w:tcPr>
            <w:tcW w:type="dxa" w:w="14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98,138</w:t>
            </w:r>
          </w:p>
        </w:tc>
        <w:tc>
          <w:tcPr>
            <w:tcW w:type="dxa" w:w="14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6,194</w:t>
            </w:r>
          </w:p>
        </w:tc>
        <w:tc>
          <w:tcPr>
            <w:tcW w:type="dxa" w:w="14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3,274</w:t>
            </w:r>
          </w:p>
        </w:tc>
        <w:tc>
          <w:tcPr>
            <w:tcW w:type="dxa" w:w="14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0.4839%</w:t>
            </w:r>
          </w:p>
        </w:tc>
        <w:tc>
          <w:tcPr>
            <w:tcW w:type="dxa" w:w="14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₹3,503</w:t>
            </w:r>
          </w:p>
        </w:tc>
        <w:tc>
          <w:tcPr>
            <w:tcW w:type="dxa" w:w="14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₹8,291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i/>
        </w:rPr>
        <w:t>FY2026–27 contains four secondary-SKU months. August 2026 is explicitly held because its export has not been received.</w:t>
      </w:r>
    </w:p>
    <w:p>
      <w:pPr>
        <w:pStyle w:val="Heading2"/>
      </w:pPr>
      <w:r>
        <w:t>Pair-value distribution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Percentile</w:t>
            </w:r>
          </w:p>
        </w:tc>
        <w:tc>
          <w:tcPr>
            <w:tcW w:type="dxa" w:w="3408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FY2025–26</w:t>
            </w:r>
          </w:p>
        </w:tc>
        <w:tc>
          <w:tcPr>
            <w:tcW w:type="dxa" w:w="3408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FY2026–27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P10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₹683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₹739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P25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₹1,482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₹1,566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Median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₹3,468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₹3,503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P75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₹8,536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₹8,204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P90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₹20,397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₹17,975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FY2025–26 top-decile average: ₹55,835; bottom-decile average: ₹407.</w:t>
      </w:r>
    </w:p>
    <w:p>
      <w:pPr>
        <w:pStyle w:val="ListBullet"/>
        <w:spacing w:after="40"/>
      </w:pPr>
      <w:r>
        <w:t>FY2026–27 top-decile average: ₹42,974; bottom-decile average: ₹447.</w:t>
      </w:r>
    </w:p>
    <w:p>
      <w:pPr>
        <w:spacing w:after="80"/>
      </w:pPr>
      <w:r>
        <w:rPr>
          <w:b/>
          <w:i w:val="0"/>
        </w:rPr>
        <w:t>Finding: ₹4,568 is not supported as a unique measured marginal statistic. Approximately ₹3,500 is a defensible initial median reference, but it is not a causal forecast.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Breadth increase</w:t>
            </w:r>
          </w:p>
        </w:tc>
        <w:tc>
          <w:tcPr>
            <w:tcW w:type="dxa" w:w="3408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FY2025–26 arithmetic value</w:t>
            </w:r>
          </w:p>
        </w:tc>
        <w:tc>
          <w:tcPr>
            <w:tcW w:type="dxa" w:w="3408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FY2026–27 current-coverage value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+1 SKU per active retailer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₹3.09 Cr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₹2.17 Cr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+2 SKUs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₹6.17 Cr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₹4.34 Cr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+3 SKUs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₹9.26 Cr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₹6.51 Cr</w:t>
            </w:r>
          </w:p>
        </w:tc>
      </w:tr>
    </w:tbl>
    <w:p>
      <w:pPr>
        <w:spacing w:after="0"/>
      </w:pPr>
    </w:p>
    <w:p>
      <w:pPr>
        <w:pStyle w:val="Heading1"/>
      </w:pPr>
      <w:r>
        <w:t>A2. Revenue bands rebuilt from primary sales</w:t>
      </w:r>
    </w:p>
    <w:p>
      <w:pPr>
        <w:spacing w:after="80"/>
      </w:pPr>
      <w:r>
        <w:rPr>
          <w:b w:val="0"/>
          <w:i w:val="0"/>
        </w:rPr>
        <w:t>Band method: first 50% of cumulative revenue = VERY HIGH; next 30% = HIGH; next 15% = MEDIUM; next 4% = LOW; final 1% = SCARCE. A code crossing a boundary remains in the band in which it begins.</w:t>
      </w:r>
    </w:p>
    <w:p>
      <w:pPr>
        <w:spacing w:after="80"/>
      </w:pPr>
      <w:r>
        <w:rPr>
          <w:b w:val="0"/>
          <w:i/>
          <w:color w:val="666666"/>
          <w:sz w:val="17"/>
        </w:rPr>
        <w:t>Source: production sale_line current-only view; value = SUM(amount).</w:t>
      </w:r>
    </w:p>
    <w:p>
      <w:pPr>
        <w:pStyle w:val="Heading2"/>
      </w:pPr>
      <w:r>
        <w:t>FY2025–26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Band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Codes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Primary value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Share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Sales per code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VERY HIGH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₹181.12 Cr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50.17%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₹163.17 L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435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₹107.71 Cr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29.84%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₹24.76 L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1,017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₹54.13 Cr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14.99%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₹5.32 L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1,310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₹14.42 Cr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4.00%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₹1.10 L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SCARCE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2,233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₹3.61 Cr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1.00%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₹16,163</w:t>
            </w:r>
          </w:p>
        </w:tc>
      </w:tr>
    </w:tbl>
    <w:p>
      <w:pPr>
        <w:spacing w:after="0"/>
      </w:pPr>
    </w:p>
    <w:p>
      <w:pPr>
        <w:pStyle w:val="Heading2"/>
      </w:pPr>
      <w:r>
        <w:t>FY2026–27 to date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Band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Codes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Primary value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Share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Sales per code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VERY HIGH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₹68.92 Cr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50.16%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₹55.14 L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441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₹41.04 Cr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29.87%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₹9.31 L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967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₹20.57 Cr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14.97%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₹2.13 L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1,056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₹5.50 Cr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4.00%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₹52,061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SCARCE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1,438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₹1.37 Cr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1.00%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₹9,542</w:t>
            </w:r>
          </w:p>
        </w:tc>
      </w:tr>
    </w:tbl>
    <w:p>
      <w:pPr>
        <w:spacing w:after="0"/>
      </w:pPr>
    </w:p>
    <w:p>
      <w:pPr>
        <w:pStyle w:val="Heading2"/>
      </w:pPr>
      <w:r>
        <w:t>Dormant catalogue</w:t>
      </w:r>
    </w:p>
    <w:p>
      <w:pPr>
        <w:spacing w:after="80"/>
      </w:pPr>
      <w:r>
        <w:rPr>
          <w:b w:val="0"/>
          <w:i/>
          <w:color w:val="666666"/>
          <w:sz w:val="17"/>
        </w:rPr>
        <w:t>Source: production mrp_current_catalogue compared with sale_line.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5112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Codes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Authoritative current catalogue</w:t>
            </w:r>
          </w:p>
        </w:tc>
        <w:tc>
          <w:tcPr>
            <w:tcW w:type="dxa" w:w="51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6,109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Never sold in any loaded FY</w:t>
            </w:r>
          </w:p>
        </w:tc>
        <w:tc>
          <w:tcPr>
            <w:tcW w:type="dxa" w:w="51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2,033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Zero FY2025–26 primary sales</w:t>
            </w:r>
          </w:p>
        </w:tc>
        <w:tc>
          <w:tcPr>
            <w:tcW w:type="dxa" w:w="51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2,576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Zero FY2026–27 primary sales to date</w:t>
            </w:r>
          </w:p>
        </w:tc>
        <w:tc>
          <w:tcPr>
            <w:tcW w:type="dxa" w:w="51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2,950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Legacy item_master reference only</w:t>
            </w:r>
          </w:p>
        </w:tc>
        <w:tc>
          <w:tcPr>
            <w:tcW w:type="dxa" w:w="51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11,368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i w:val="0"/>
        </w:rPr>
        <w:t>Decision: DORMANT must use mrp_current_catalogue and state the selected sales period.</w:t>
      </w:r>
    </w:p>
    <w:p>
      <w:pPr>
        <w:pStyle w:val="Heading1"/>
      </w:pPr>
      <w:r>
        <w:t>A3. Customers per SKU by band</w:t>
      </w:r>
    </w:p>
    <w:p>
      <w:pPr>
        <w:spacing w:after="80"/>
      </w:pPr>
      <w:r>
        <w:rPr>
          <w:b w:val="0"/>
          <w:i w:val="0"/>
        </w:rPr>
        <w:t>Codes absent from secondary transactions count as zero secondary customers.</w:t>
      </w:r>
    </w:p>
    <w:p>
      <w:pPr>
        <w:spacing w:after="80"/>
      </w:pPr>
      <w:r>
        <w:rPr>
          <w:b w:val="0"/>
          <w:i/>
          <w:color w:val="666666"/>
          <w:sz w:val="17"/>
        </w:rPr>
        <w:t>Sources: band from production sale_line; retailer count from production secondary_sku_line; RET# first with normalized-name fallback.</w:t>
      </w:r>
    </w:p>
    <w:p>
      <w:pPr>
        <w:pStyle w:val="Heading2"/>
      </w:pPr>
      <w:r>
        <w:t>FY2025–26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Band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Primary codes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Seen in secondary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Avg retailers/SKU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Median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VERY HIGH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579.84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557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435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381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194.47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148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1,017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827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53.65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1,310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992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14.39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SCARCE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2,233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1,019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2.60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0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i w:val="0"/>
        </w:rPr>
        <w:t>Average VERY HIGH-to-SCARCE spread: 223×.</w:t>
      </w:r>
    </w:p>
    <w:p>
      <w:pPr>
        <w:pStyle w:val="Heading2"/>
      </w:pPr>
      <w:r>
        <w:t>FY2026–27 to date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Band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Primary codes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Seen in secondary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Avg retailers/SKU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Median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VERY HIGH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119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272.59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228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441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381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71.15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967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19.22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1,056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759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6.11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SCARCE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1,438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626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1.56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0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i w:val="0"/>
        </w:rPr>
        <w:t>Average VERY HIGH-to-SCARCE spread: approximately 175×. The load-bearing 122× premise is confirmed and exceeded.</w:t>
      </w:r>
    </w:p>
    <w:p>
      <w:pPr>
        <w:pStyle w:val="Heading1"/>
      </w:pPr>
      <w:r>
        <w:t>A4. Peer-set feasibility</w:t>
      </w:r>
    </w:p>
    <w:p>
      <w:pPr>
        <w:spacing w:after="80"/>
      </w:pPr>
      <w:r>
        <w:rPr>
          <w:b w:val="0"/>
          <w:i/>
          <w:color w:val="666666"/>
          <w:sz w:val="17"/>
        </w:rPr>
        <w:t>Source: production secondary_sku_line.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3408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Availability</w:t>
            </w:r>
          </w:p>
        </w:tc>
        <w:tc>
          <w:tcPr>
            <w:tcW w:type="dxa" w:w="3408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Basis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Retailer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RET#; normalized-name fallback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Distributor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Complete in measured rows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distributor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Size band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Derivable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Retailer SUM(net_amount)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Segments bought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segment_canon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Months active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Distinct month_label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Incomplete</w:t>
            </w:r>
          </w:p>
        </w:tc>
        <w:tc>
          <w:tcPr>
            <w:tcW w:type="dxa" w:w="34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state_canon; distributor bridge possible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FY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Retailers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State directly known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Direct coverage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After unambiguous distributor bridge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2025–26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8,898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2,961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33.28%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5,176 / 58.17%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2026–27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6,194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1,618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26.12%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2,866 / 46.27%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Among directly known FY2025–26 state × size-quintile cells, 32 of 45 contain at least 30 retailers.</w:t>
      </w:r>
    </w:p>
    <w:p>
      <w:pPr>
        <w:pStyle w:val="ListBullet"/>
        <w:spacing w:after="40"/>
      </w:pPr>
      <w:r>
        <w:t>State-based peers are statistically credible for covered retailers.</w:t>
      </w:r>
    </w:p>
    <w:p>
      <w:pPr>
        <w:pStyle w:val="ListBullet"/>
        <w:spacing w:after="40"/>
      </w:pPr>
      <w:r>
        <w:t>E4 must fail closed when canonical state is unresolved.</w:t>
      </w:r>
    </w:p>
    <w:p>
      <w:pPr>
        <w:pStyle w:val="ListBullet"/>
        <w:spacing w:after="40"/>
      </w:pPr>
      <w:r>
        <w:t>Historical RET# coverage is uneven: 52,515 of 379,439 FY2025–26 rows versus complete RET# on 123,326 FY2026–27 rows.</w:t>
      </w:r>
    </w:p>
    <w:p>
      <w:pPr>
        <w:pStyle w:val="Heading1"/>
      </w:pPr>
      <w:r>
        <w:t>A5. Margin join and coverage</w:t>
      </w:r>
    </w:p>
    <w:p>
      <w:pPr>
        <w:spacing w:after="80"/>
      </w:pPr>
      <w:r>
        <w:rPr>
          <w:b w:val="0"/>
          <w:i/>
          <w:color w:val="666666"/>
          <w:sz w:val="17"/>
        </w:rPr>
        <w:t>Sources: sold SKUs and secondary value from secondary_sku_line; gross-contribution inputs from margin_fact; held evidence from resolution_item.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FY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Sold SKUs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Usable-margin SKUs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SKU coverage</w:t>
            </w:r>
          </w:p>
        </w:tc>
        <w:tc>
          <w:tcPr>
            <w:tcW w:type="dxa" w:w="2045"/>
            <w:shd w:fill="2F559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Secondary value coverage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2025–26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4,053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3,197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78.88%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>
              <w:rPr>
                <w:sz w:val="16"/>
              </w:rPr>
              <w:t>89.44%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2026–27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3,274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2,273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69.43%</w:t>
            </w:r>
          </w:p>
        </w:tc>
        <w:tc>
          <w:tcPr>
            <w:tcW w:type="dxa" w:w="20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4F7FB"/>
          </w:tcPr>
          <w:p>
            <w:r>
              <w:rPr>
                <w:sz w:val="16"/>
              </w:rPr>
              <w:t>83.20%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margin_fact covers 12 months for FY2025–26 and April–June 2026 for FY2026–27.</w:t>
      </w:r>
    </w:p>
    <w:p>
      <w:pPr>
        <w:pStyle w:val="ListBullet"/>
        <w:spacing w:after="40"/>
      </w:pPr>
      <w:r>
        <w:t>H1 blocks PTMT margin, gross contribution and BOM cost for January–April 2026 because factory cost is materially understated.</w:t>
      </w:r>
    </w:p>
    <w:p>
      <w:pPr>
        <w:pStyle w:val="ListBullet"/>
        <w:spacing w:after="40"/>
      </w:pPr>
      <w:r>
        <w:t>H2 blocks August 2026 retailer/item-level secondary analysis because the source export is absent.</w:t>
      </w:r>
    </w:p>
    <w:p>
      <w:pPr>
        <w:pStyle w:val="ListBullet"/>
        <w:spacing w:after="40"/>
      </w:pPr>
      <w:r>
        <w:t>margin_fact measures gross contribution using average sale less BOM cost; it is not net profit.</w:t>
      </w:r>
    </w:p>
    <w:p>
      <w:pPr>
        <w:spacing w:after="80"/>
      </w:pPr>
      <w:r>
        <w:rPr>
          <w:b/>
          <w:i w:val="0"/>
        </w:rPr>
        <w:t>Decision: aggregate margin_fact by FY and item code before joining. Suppress every proposal with unknown or applicable held margin.</w:t>
      </w:r>
    </w:p>
    <w:p>
      <w:pPr>
        <w:pStyle w:val="Heading1"/>
      </w:pPr>
      <w:r>
        <w:t>A6. Cannibalisation</w:t>
      </w:r>
    </w:p>
    <w:p>
      <w:pPr>
        <w:spacing w:after="80"/>
      </w:pPr>
      <w:r>
        <w:rPr>
          <w:b/>
          <w:i w:val="0"/>
        </w:rPr>
        <w:t>The database cannot causally distinguish an incremental SKU addition from a switch between similar SKUs.</w:t>
      </w:r>
    </w:p>
    <w:p>
      <w:pPr>
        <w:spacing w:after="80"/>
      </w:pPr>
      <w:r>
        <w:rPr>
          <w:b w:val="0"/>
          <w:i w:val="0"/>
        </w:rPr>
        <w:t>Available evidence can support only a substitution-risk warning: retailer/item history, same-group alternatives, monthly pair appearances and disappearances, negative movement between similar SKUs, and peer co-purchase rates.</w:t>
      </w:r>
    </w:p>
    <w:p>
      <w:pPr>
        <w:spacing w:after="80"/>
      </w:pPr>
      <w:r>
        <w:rPr>
          <w:b w:val="0"/>
          <w:i w:val="0"/>
        </w:rPr>
        <w:t>Missing causal evidence includes retailer inventory, consumer sell-through, lost sales, replacement reasons and controlled promotion evidence. Every future proposal must name nearby same-group SKUs and disclose substitution risk.</w:t>
      </w:r>
    </w:p>
    <w:p>
      <w:pPr>
        <w:pStyle w:val="Heading1"/>
      </w:pPr>
      <w:r>
        <w:t>A7. Existing nudge-engine reuse</w:t>
      </w:r>
    </w:p>
    <w:p>
      <w:pPr>
        <w:spacing w:after="80"/>
      </w:pPr>
      <w:r>
        <w:rPr>
          <w:b w:val="0"/>
          <w:i/>
          <w:color w:val="666666"/>
          <w:sz w:val="17"/>
        </w:rPr>
        <w:t>Source: existing production application implementation and scheme data model.</w:t>
      </w:r>
    </w:p>
    <w:p>
      <w:pPr>
        <w:pStyle w:val="Heading2"/>
      </w:pPr>
      <w:r>
        <w:t>Reusable components</w:t>
      </w:r>
    </w:p>
    <w:p>
      <w:pPr>
        <w:pStyle w:val="ListBullet"/>
        <w:spacing w:after="40"/>
      </w:pPr>
      <w:r>
        <w:t>Territory resolution with explicit priority for ambiguous states and fail-closed unknown geography.</w:t>
      </w:r>
    </w:p>
    <w:p>
      <w:pPr>
        <w:pStyle w:val="ListBullet"/>
        <w:spacing w:after="40"/>
      </w:pPr>
      <w:r>
        <w:t>Audience classification using distributor identity.</w:t>
      </w:r>
    </w:p>
    <w:p>
      <w:pPr>
        <w:pStyle w:val="ListBullet"/>
        <w:spacing w:after="40"/>
      </w:pPr>
      <w:r>
        <w:t>Current slab, next slab, threshold gap and incremental earnings arithmetic.</w:t>
      </w:r>
    </w:p>
    <w:p>
      <w:pPr>
        <w:pStyle w:val="ListBullet"/>
        <w:spacing w:after="40"/>
      </w:pPr>
      <w:r>
        <w:t>Existing ROI suppression logic.</w:t>
      </w:r>
    </w:p>
    <w:p>
      <w:pPr>
        <w:pStyle w:val="ListBullet"/>
        <w:spacing w:after="40"/>
      </w:pPr>
      <w:r>
        <w:t>Read-only scheme_item_group eligibility vocabulary.</w:t>
      </w:r>
    </w:p>
    <w:p>
      <w:pPr>
        <w:pStyle w:val="Heading2"/>
      </w:pPr>
      <w:r>
        <w:t>Limitations</w:t>
      </w:r>
    </w:p>
    <w:p>
      <w:pPr>
        <w:pStyle w:val="ListBullet"/>
        <w:spacing w:after="40"/>
      </w:pPr>
      <w:r>
        <w:t>Direct-dealer-only audience currently fails closed because the identity signal is insufficient.</w:t>
      </w:r>
    </w:p>
    <w:p>
      <w:pPr>
        <w:pStyle w:val="ListBullet"/>
        <w:spacing w:after="40"/>
      </w:pPr>
      <w:r>
        <w:t>Unregistered intermediaries may pass as sub-dealers.</w:t>
      </w:r>
    </w:p>
    <w:p>
      <w:pPr>
        <w:pStyle w:val="ListBullet"/>
        <w:spacing w:after="40"/>
      </w:pPr>
      <w:r>
        <w:t>Existing ROI measures progress toward a live slab, not causal incremental gross contribution.</w:t>
      </w:r>
    </w:p>
    <w:p>
      <w:pPr>
        <w:pStyle w:val="ListBullet"/>
        <w:spacing w:after="40"/>
      </w:pPr>
      <w:r>
        <w:t>Historical commercial terms cannot be reconstructed without the original scheme circulars.</w:t>
      </w:r>
    </w:p>
    <w:p>
      <w:pPr>
        <w:pStyle w:val="ListBullet"/>
        <w:spacing w:after="40"/>
      </w:pPr>
      <w:r>
        <w:t>Prompt 92 must not modify the existing nudge engine.</w:t>
      </w:r>
    </w:p>
    <w:p>
      <w:pPr>
        <w:pStyle w:val="Heading1"/>
      </w:pPr>
      <w:r>
        <w:t>Feasibility decision and design implications</w:t>
      </w:r>
    </w:p>
    <w:p>
      <w:pPr>
        <w:pStyle w:val="Heading2"/>
      </w:pPr>
      <w:r>
        <w:t>E2 — Pair matrix and SKU bands: feasible now</w:t>
      </w:r>
    </w:p>
    <w:p>
      <w:pPr>
        <w:pStyle w:val="ListBullet"/>
        <w:spacing w:after="40"/>
      </w:pPr>
      <w:r>
        <w:t>Replace ₹4,568 with the measured pair distribution.</w:t>
      </w:r>
    </w:p>
    <w:p>
      <w:pPr>
        <w:pStyle w:val="ListBullet"/>
        <w:spacing w:after="40"/>
      </w:pPr>
      <w:r>
        <w:t>Use approximately ₹3,500 only as a clearly labelled median reference.</w:t>
      </w:r>
    </w:p>
    <w:p>
      <w:pPr>
        <w:pStyle w:val="ListBullet"/>
        <w:spacing w:after="40"/>
      </w:pPr>
      <w:r>
        <w:t>Use mrp_current_catalogue for DORMANT.</w:t>
      </w:r>
    </w:p>
    <w:p>
      <w:pPr>
        <w:pStyle w:val="ListBullet"/>
        <w:spacing w:after="40"/>
      </w:pPr>
      <w:r>
        <w:t>Keep primary revenue bands and secondary retailer breadth separately sourced.</w:t>
      </w:r>
    </w:p>
    <w:p>
      <w:pPr>
        <w:pStyle w:val="ListBullet"/>
        <w:spacing w:after="40"/>
      </w:pPr>
      <w:r>
        <w:t>Show FY and loaded-month coverage on every figure.</w:t>
      </w:r>
    </w:p>
    <w:p>
      <w:pPr>
        <w:pStyle w:val="Heading2"/>
      </w:pPr>
      <w:r>
        <w:t>E3 — Margin headroom: feasible with mandatory suppression</w:t>
      </w:r>
    </w:p>
    <w:p>
      <w:pPr>
        <w:pStyle w:val="ListBullet"/>
        <w:spacing w:after="40"/>
      </w:pPr>
      <w:r>
        <w:t>Aggregate margin_fact before joining.</w:t>
      </w:r>
    </w:p>
    <w:p>
      <w:pPr>
        <w:pStyle w:val="ListBullet"/>
        <w:spacing w:after="40"/>
      </w:pPr>
      <w:r>
        <w:t>Suppress unknown-margin codes.</w:t>
      </w:r>
    </w:p>
    <w:p>
      <w:pPr>
        <w:pStyle w:val="ListBullet"/>
        <w:spacing w:after="40"/>
      </w:pPr>
      <w:r>
        <w:t>Apply Resolution-register holds during calculation, not display.</w:t>
      </w:r>
    </w:p>
    <w:p>
      <w:pPr>
        <w:pStyle w:val="ListBullet"/>
        <w:spacing w:after="40"/>
      </w:pPr>
      <w:r>
        <w:t>Exclude held PTMT periods rather than averaging through them.</w:t>
      </w:r>
    </w:p>
    <w:p>
      <w:pPr>
        <w:pStyle w:val="ListBullet"/>
        <w:spacing w:after="40"/>
      </w:pPr>
      <w:r>
        <w:t>Use gross-contribution terminology and disclose month coverage.</w:t>
      </w:r>
    </w:p>
    <w:p>
      <w:pPr>
        <w:pStyle w:val="Heading2"/>
      </w:pPr>
      <w:r>
        <w:t>E4 — Peer sets: partially feasible</w:t>
      </w:r>
    </w:p>
    <w:p>
      <w:pPr>
        <w:spacing w:after="80"/>
      </w:pPr>
      <w:r>
        <w:rPr>
          <w:b w:val="0"/>
          <w:i w:val="0"/>
        </w:rPr>
        <w:t>Build only for retailers with unambiguous canonical state. Universal coverage should wait for a canonical geography bridge that materially improves the current 58.17% historical and 46.27% current coverage.</w:t>
      </w:r>
    </w:p>
    <w:p>
      <w:pPr>
        <w:pStyle w:val="Heading2"/>
      </w:pPr>
      <w:r>
        <w:t>E5–E6 — Do not fix the design yet</w:t>
      </w:r>
    </w:p>
    <w:p>
      <w:pPr>
        <w:pStyle w:val="ListBullet"/>
        <w:spacing w:after="40"/>
      </w:pPr>
      <w:r>
        <w:t>Approve the marginal-pair definition.</w:t>
      </w:r>
    </w:p>
    <w:p>
      <w:pPr>
        <w:pStyle w:val="ListBullet"/>
        <w:spacing w:after="40"/>
      </w:pPr>
      <w:r>
        <w:t>Define the unresolved-geography policy.</w:t>
      </w:r>
    </w:p>
    <w:p>
      <w:pPr>
        <w:pStyle w:val="ListBullet"/>
        <w:spacing w:after="40"/>
      </w:pPr>
      <w:r>
        <w:t>Make held-margin suppression part of proposal calculation.</w:t>
      </w:r>
    </w:p>
    <w:p>
      <w:pPr>
        <w:pStyle w:val="ListBullet"/>
        <w:spacing w:after="40"/>
      </w:pPr>
      <w:r>
        <w:t>Treat substitution as a disclosed risk, not a solved causal question.</w:t>
      </w:r>
    </w:p>
    <w:p>
      <w:pPr>
        <w:pStyle w:val="Heading1"/>
      </w:pPr>
      <w:r>
        <w:t>Method and audit note</w:t>
      </w:r>
    </w:p>
    <w:p>
      <w:pPr>
        <w:spacing w:after="80"/>
      </w:pPr>
      <w:r>
        <w:rPr>
          <w:b w:val="0"/>
          <w:i w:val="0"/>
        </w:rPr>
        <w:t>All database figures in this report were measured with read-only production queries on 14 September 2026. No source table, application code, schema, configuration or data was changed. Values may change as the open FY receives additional source months.</w:t>
      </w:r>
    </w:p>
    <w:p>
      <w:pPr>
        <w:spacing w:after="80"/>
      </w:pPr>
      <w:r>
        <w:rPr>
          <w:b/>
          <w:i w:val="0"/>
        </w:rPr>
        <w:t>Standing interpretation rule: unavailable or held evidence is not zero. Each future page figure must name its source and coverage.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Prompt 92 — AI Schemes | Section A Feasibility Report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92 — AI Schemes — Section A Feasibility Report</dc:title>
  <dc:subject>Read-only feasibility analysis for AI Schemes</dc:subject>
  <dc:creator>Replit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