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Global period filter - and two columns nobody had read</w:t>
      </w:r>
    </w:p>
    <w:p>
      <w:pPr>
        <w:spacing w:after="150"/>
      </w:pPr>
      <w:r>
        <w:rPr>
          <w:i/>
          <w:iCs/>
          <w:color w:val="555555"/>
        </w:rPr>
        <w:t xml:space="preserve">The selector fix applies everywhere, not to one page. Plus a correction to the delivered Anant Singh pack. HELD.</w:t>
      </w:r>
    </w:p>
    <w:p>
      <w:pPr>
        <w:pStyle w:val="Heading1"/>
        <w:spacing w:after="100" w:before="240"/>
      </w:pPr>
      <w:r>
        <w:rPr>
          <w:b/>
          <w:bCs/>
        </w:rPr>
        <w:t xml:space="preserve">Read this first - a correction to work already delivered</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THE DASHBOARD HAS ALWAYS TRACKED LEAVERS, IN COLUMN BA 'Active/ Left'. I had not read that column, and concluded the dashboard was not maintained on exits. That was wrong. It is maintained: 171 members are marked Active and 12 are marked LEFT.</w:t>
      </w:r>
    </w:p>
    <w:p>
      <w:pPr>
        <w:spacing w:after="100"/>
      </w:pPr>
      <w:r>
        <w:t xml:space="preserve">The consequence matters. JAGDEV, at row 82 under Anant Singh, is marked LEFT - and he is one of the eleven members in the delivered report pack, with a full member report and a per-salesperson visit plan built for him. A visit plan for someone who has left is not a small labelling error.</w:t>
      </w:r>
    </w:p>
    <w:p>
      <w:pPr>
        <w:pStyle w:val="Heading2"/>
        <w:spacing w:after="65" w:before="180"/>
      </w:pPr>
      <w:r>
        <w:rPr>
          <w:b/>
          <w:bCs/>
        </w:rPr>
        <w:t xml:space="preserve">Anant Singh actually has three leavers, not two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tcMar>
              <w:top w:type="dxa" w:w="44"/>
              <w:left w:type="dxa" w:w="72"/>
              <w:bottom w:type="dxa" w:w="44"/>
              <w:right w:type="dxa" w:w="72"/>
            </w:tcMar>
          </w:tcPr>
          <w:p>
            <w:r>
              <w:rPr>
                <w:b/>
                <w:bCs/>
                <w:sz w:val="15"/>
                <w:szCs w:val="15"/>
              </w:rPr>
              <w:t xml:space="preserve">Member</w:t>
            </w:r>
          </w:p>
        </w:tc>
        <w:tc>
          <w:tcPr>
            <w:tcW w:type="pct" w:w="12%"/>
            <w:tcMar>
              <w:top w:type="dxa" w:w="44"/>
              <w:left w:type="dxa" w:w="72"/>
              <w:bottom w:type="dxa" w:w="44"/>
              <w:right w:type="dxa" w:w="72"/>
            </w:tcMar>
          </w:tcPr>
          <w:p>
            <w:r>
              <w:rPr>
                <w:b/>
                <w:bCs/>
                <w:sz w:val="15"/>
                <w:szCs w:val="15"/>
              </w:rPr>
              <w:t xml:space="preserve">Status</w:t>
            </w:r>
          </w:p>
        </w:tc>
        <w:tc>
          <w:tcPr>
            <w:tcW w:type="pct" w:w="32%"/>
            <w:tcMar>
              <w:top w:type="dxa" w:w="44"/>
              <w:left w:type="dxa" w:w="72"/>
              <w:bottom w:type="dxa" w:w="44"/>
              <w:right w:type="dxa" w:w="72"/>
            </w:tcMar>
          </w:tcPr>
          <w:p>
            <w:r>
              <w:rPr>
                <w:b/>
                <w:bCs/>
                <w:sz w:val="15"/>
                <w:szCs w:val="15"/>
              </w:rPr>
              <w:t xml:space="preserve">Elapsed months (col BD)</w:t>
            </w:r>
          </w:p>
        </w:tc>
        <w:tc>
          <w:tcPr>
            <w:tcW w:type="pct" w:w="32%"/>
            <w:tcMar>
              <w:top w:type="dxa" w:w="44"/>
              <w:left w:type="dxa" w:w="72"/>
              <w:bottom w:type="dxa" w:w="44"/>
              <w:right w:type="dxa" w:w="72"/>
            </w:tcMar>
          </w:tcPr>
          <w:p>
            <w:r>
              <w:rPr>
                <w:b/>
                <w:bCs/>
                <w:sz w:val="15"/>
                <w:szCs w:val="15"/>
              </w:rPr>
              <w:t xml:space="preserve">Order booking</w:t>
            </w:r>
          </w:p>
        </w:tc>
      </w:tr>
      <w:tr>
        <w:trPr>
          <w:tblHeader w:val="false"/>
        </w:trPr>
        <w:tc>
          <w:tcPr>
            <w:tcW w:type="pct" w:w="24%"/>
            <w:tcMar>
              <w:top w:type="dxa" w:w="44"/>
              <w:left w:type="dxa" w:w="72"/>
              <w:bottom w:type="dxa" w:w="44"/>
              <w:right w:type="dxa" w:w="72"/>
            </w:tcMar>
          </w:tcPr>
          <w:p>
            <w:r>
              <w:rPr>
                <w:b w:val="false"/>
                <w:bCs w:val="false"/>
                <w:sz w:val="15"/>
                <w:szCs w:val="15"/>
              </w:rPr>
              <w:t xml:space="preserve">Jagdev</w:t>
            </w:r>
          </w:p>
        </w:tc>
        <w:tc>
          <w:tcPr>
            <w:tcW w:type="pct" w:w="12%"/>
            <w:tcMar>
              <w:top w:type="dxa" w:w="44"/>
              <w:left w:type="dxa" w:w="72"/>
              <w:bottom w:type="dxa" w:w="44"/>
              <w:right w:type="dxa" w:w="72"/>
            </w:tcMar>
          </w:tcPr>
          <w:p>
            <w:r>
              <w:rPr>
                <w:b w:val="false"/>
                <w:bCs w:val="false"/>
                <w:sz w:val="15"/>
                <w:szCs w:val="15"/>
              </w:rPr>
              <w:t xml:space="preserve">LEFT</w:t>
            </w:r>
          </w:p>
        </w:tc>
        <w:tc>
          <w:tcPr>
            <w:tcW w:type="pct" w:w="32%"/>
            <w:tcMar>
              <w:top w:type="dxa" w:w="44"/>
              <w:left w:type="dxa" w:w="72"/>
              <w:bottom w:type="dxa" w:w="44"/>
              <w:right w:type="dxa" w:w="72"/>
            </w:tcMar>
          </w:tcPr>
          <w:p>
            <w:r>
              <w:rPr>
                <w:b w:val="false"/>
                <w:bCs w:val="false"/>
                <w:sz w:val="15"/>
                <w:szCs w:val="15"/>
              </w:rPr>
              <w:t xml:space="preserve">2.43</w:t>
            </w:r>
          </w:p>
        </w:tc>
        <w:tc>
          <w:tcPr>
            <w:tcW w:type="pct" w:w="32%"/>
            <w:tcMar>
              <w:top w:type="dxa" w:w="44"/>
              <w:left w:type="dxa" w:w="72"/>
              <w:bottom w:type="dxa" w:w="44"/>
              <w:right w:type="dxa" w:w="72"/>
            </w:tcMar>
          </w:tcPr>
          <w:p>
            <w:r>
              <w:rPr>
                <w:b w:val="false"/>
                <w:bCs w:val="false"/>
                <w:sz w:val="15"/>
                <w:szCs w:val="15"/>
              </w:rPr>
              <w:t xml:space="preserve">Rs 20,15,462</w:t>
            </w:r>
          </w:p>
        </w:tc>
      </w:tr>
      <w:tr>
        <w:trPr>
          <w:tblHeader w:val="false"/>
        </w:trPr>
        <w:tc>
          <w:tcPr>
            <w:tcW w:type="pct" w:w="24%"/>
            <w:tcMar>
              <w:top w:type="dxa" w:w="44"/>
              <w:left w:type="dxa" w:w="72"/>
              <w:bottom w:type="dxa" w:w="44"/>
              <w:right w:type="dxa" w:w="72"/>
            </w:tcMar>
          </w:tcPr>
          <w:p>
            <w:r>
              <w:rPr>
                <w:b w:val="false"/>
                <w:bCs w:val="false"/>
                <w:sz w:val="15"/>
                <w:szCs w:val="15"/>
              </w:rPr>
              <w:t xml:space="preserve">Shiv Kumar</w:t>
            </w:r>
          </w:p>
        </w:tc>
        <w:tc>
          <w:tcPr>
            <w:tcW w:type="pct" w:w="12%"/>
            <w:tcMar>
              <w:top w:type="dxa" w:w="44"/>
              <w:left w:type="dxa" w:w="72"/>
              <w:bottom w:type="dxa" w:w="44"/>
              <w:right w:type="dxa" w:w="72"/>
            </w:tcMar>
          </w:tcPr>
          <w:p>
            <w:r>
              <w:rPr>
                <w:b w:val="false"/>
                <w:bCs w:val="false"/>
                <w:sz w:val="15"/>
                <w:szCs w:val="15"/>
              </w:rPr>
              <w:t xml:space="preserve">LEFT</w:t>
            </w:r>
          </w:p>
        </w:tc>
        <w:tc>
          <w:tcPr>
            <w:tcW w:type="pct" w:w="32%"/>
            <w:tcMar>
              <w:top w:type="dxa" w:w="44"/>
              <w:left w:type="dxa" w:w="72"/>
              <w:bottom w:type="dxa" w:w="44"/>
              <w:right w:type="dxa" w:w="72"/>
            </w:tcMar>
          </w:tcPr>
          <w:p>
            <w:r>
              <w:rPr>
                <w:b w:val="false"/>
                <w:bCs w:val="false"/>
                <w:sz w:val="15"/>
                <w:szCs w:val="15"/>
              </w:rPr>
              <w:t xml:space="preserve">1.17</w:t>
            </w:r>
          </w:p>
        </w:tc>
        <w:tc>
          <w:tcPr>
            <w:tcW w:type="pct" w:w="32%"/>
            <w:tcMar>
              <w:top w:type="dxa" w:w="44"/>
              <w:left w:type="dxa" w:w="72"/>
              <w:bottom w:type="dxa" w:w="44"/>
              <w:right w:type="dxa" w:w="72"/>
            </w:tcMar>
          </w:tcPr>
          <w:p>
            <w:r>
              <w:rPr>
                <w:b w:val="false"/>
                <w:bCs w:val="false"/>
                <w:sz w:val="15"/>
                <w:szCs w:val="15"/>
              </w:rPr>
              <w:t xml:space="preserve">Rs 57,882</w:t>
            </w:r>
          </w:p>
        </w:tc>
      </w:tr>
      <w:tr>
        <w:trPr>
          <w:tblHeader w:val="false"/>
        </w:trPr>
        <w:tc>
          <w:tcPr>
            <w:tcW w:type="pct" w:w="24%"/>
            <w:tcMar>
              <w:top w:type="dxa" w:w="44"/>
              <w:left w:type="dxa" w:w="72"/>
              <w:bottom w:type="dxa" w:w="44"/>
              <w:right w:type="dxa" w:w="72"/>
            </w:tcMar>
          </w:tcPr>
          <w:p>
            <w:r>
              <w:rPr>
                <w:b w:val="false"/>
                <w:bCs w:val="false"/>
                <w:sz w:val="15"/>
                <w:szCs w:val="15"/>
              </w:rPr>
              <w:t xml:space="preserve">Ravi Upadhyay</w:t>
            </w:r>
          </w:p>
        </w:tc>
        <w:tc>
          <w:tcPr>
            <w:tcW w:type="pct" w:w="12%"/>
            <w:tcMar>
              <w:top w:type="dxa" w:w="44"/>
              <w:left w:type="dxa" w:w="72"/>
              <w:bottom w:type="dxa" w:w="44"/>
              <w:right w:type="dxa" w:w="72"/>
            </w:tcMar>
          </w:tcPr>
          <w:p>
            <w:r>
              <w:rPr>
                <w:b w:val="false"/>
                <w:bCs w:val="false"/>
                <w:sz w:val="15"/>
                <w:szCs w:val="15"/>
              </w:rPr>
              <w:t xml:space="preserve">LEFT</w:t>
            </w:r>
          </w:p>
        </w:tc>
        <w:tc>
          <w:tcPr>
            <w:tcW w:type="pct" w:w="32%"/>
            <w:tcMar>
              <w:top w:type="dxa" w:w="44"/>
              <w:left w:type="dxa" w:w="72"/>
              <w:bottom w:type="dxa" w:w="44"/>
              <w:right w:type="dxa" w:w="72"/>
            </w:tcMar>
          </w:tcPr>
          <w:p>
            <w:r>
              <w:rPr>
                <w:b w:val="false"/>
                <w:bCs w:val="false"/>
                <w:sz w:val="15"/>
                <w:szCs w:val="15"/>
              </w:rPr>
              <w:t xml:space="preserve">1.01</w:t>
            </w:r>
          </w:p>
        </w:tc>
        <w:tc>
          <w:tcPr>
            <w:tcW w:type="pct" w:w="32%"/>
            <w:tcMar>
              <w:top w:type="dxa" w:w="44"/>
              <w:left w:type="dxa" w:w="72"/>
              <w:bottom w:type="dxa" w:w="44"/>
              <w:right w:type="dxa" w:w="72"/>
            </w:tcMar>
          </w:tcPr>
          <w:p>
            <w:r>
              <w:rPr>
                <w:b w:val="false"/>
                <w:bCs w:val="false"/>
                <w:sz w:val="15"/>
                <w:szCs w:val="15"/>
              </w:rPr>
              <w:t xml:space="preserve">Rs 11,405</w:t>
            </w:r>
          </w:p>
        </w:tc>
      </w:tr>
      <w:tr>
        <w:trPr>
          <w:tblHeader w:val="false"/>
        </w:trPr>
        <w:tc>
          <w:tcPr>
            <w:tcW w:type="pct" w:w="24%"/>
            <w:tcMar>
              <w:top w:type="dxa" w:w="44"/>
              <w:left w:type="dxa" w:w="72"/>
              <w:bottom w:type="dxa" w:w="44"/>
              <w:right w:type="dxa" w:w="72"/>
            </w:tcMar>
          </w:tcPr>
          <w:p>
            <w:r>
              <w:rPr>
                <w:b w:val="false"/>
                <w:bCs w:val="false"/>
                <w:sz w:val="15"/>
                <w:szCs w:val="15"/>
              </w:rPr>
              <w:t xml:space="preserve">The other ten</w:t>
            </w:r>
          </w:p>
        </w:tc>
        <w:tc>
          <w:tcPr>
            <w:tcW w:type="pct" w:w="12%"/>
            <w:tcMar>
              <w:top w:type="dxa" w:w="44"/>
              <w:left w:type="dxa" w:w="72"/>
              <w:bottom w:type="dxa" w:w="44"/>
              <w:right w:type="dxa" w:w="72"/>
            </w:tcMar>
          </w:tcPr>
          <w:p>
            <w:r>
              <w:rPr>
                <w:b w:val="false"/>
                <w:bCs w:val="false"/>
                <w:sz w:val="15"/>
                <w:szCs w:val="15"/>
              </w:rPr>
              <w:t xml:space="preserve">Active</w:t>
            </w:r>
          </w:p>
        </w:tc>
        <w:tc>
          <w:tcPr>
            <w:tcW w:type="pct" w:w="32%"/>
            <w:tcMar>
              <w:top w:type="dxa" w:w="44"/>
              <w:left w:type="dxa" w:w="72"/>
              <w:bottom w:type="dxa" w:w="44"/>
              <w:right w:type="dxa" w:w="72"/>
            </w:tcMar>
          </w:tcPr>
          <w:p>
            <w:r>
              <w:rPr>
                <w:b w:val="false"/>
                <w:bCs w:val="false"/>
                <w:sz w:val="15"/>
                <w:szCs w:val="15"/>
              </w:rPr>
              <w:t xml:space="preserve">3.00 (except Rahul Singh 0.47)</w:t>
            </w:r>
          </w:p>
        </w:tc>
        <w:tc>
          <w:tcPr>
            <w:tcW w:type="pct" w:w="32%"/>
            <w:tcMar>
              <w:top w:type="dxa" w:w="44"/>
              <w:left w:type="dxa" w:w="72"/>
              <w:bottom w:type="dxa" w:w="44"/>
              <w:right w:type="dxa" w:w="72"/>
            </w:tcMar>
          </w:tcPr>
          <w:p>
            <w:r>
              <w:rPr>
                <w:b w:val="false"/>
                <w:bCs w:val="false"/>
                <w:sz w:val="15"/>
                <w:szCs w:val="15"/>
              </w:rPr>
              <w:t xml:space="preserve">-</w:t>
            </w:r>
          </w:p>
        </w:tc>
      </w:tr>
    </w:tbl>
    <w:p>
      <w:pPr>
        <w:spacing w:after="100"/>
      </w:pPr>
      <w:r>
        <w:t xml:space="preserve">So the team is 13 rows, 10 active. My earlier conclusion that '13 minus 2 leavers equals the roster's 11' was arithmetic that happened to land near a right answer for the wrong reason - the roster's 11 includes Jagdev, who has left.</w:t>
      </w:r>
    </w:p>
    <w:p>
      <w:pPr>
        <w:pStyle w:val="Heading2"/>
        <w:spacing w:after="65" w:before="180"/>
      </w:pPr>
      <w:r>
        <w:rPr>
          <w:b/>
          <w:bCs/>
        </w:rPr>
        <w:t xml:space="preserve">Company-wide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tcMar>
              <w:top w:type="dxa" w:w="44"/>
              <w:left w:type="dxa" w:w="72"/>
              <w:bottom w:type="dxa" w:w="44"/>
              <w:right w:type="dxa" w:w="72"/>
            </w:tcMar>
          </w:tcPr>
          <w:p>
            <w:r>
              <w:rPr>
                <w:b/>
                <w:bCs/>
                <w:sz w:val="15"/>
                <w:szCs w:val="15"/>
              </w:rPr>
              <w:t xml:space="preserve">State Head</w:t>
            </w:r>
          </w:p>
        </w:tc>
        <w:tc>
          <w:tcPr>
            <w:tcW w:type="pct" w:w="10%"/>
            <w:tcMar>
              <w:top w:type="dxa" w:w="44"/>
              <w:left w:type="dxa" w:w="72"/>
              <w:bottom w:type="dxa" w:w="44"/>
              <w:right w:type="dxa" w:w="72"/>
            </w:tcMar>
          </w:tcPr>
          <w:p>
            <w:r>
              <w:rPr>
                <w:b/>
                <w:bCs/>
                <w:sz w:val="15"/>
                <w:szCs w:val="15"/>
              </w:rPr>
              <w:t xml:space="preserve">Active</w:t>
            </w:r>
          </w:p>
        </w:tc>
        <w:tc>
          <w:tcPr>
            <w:tcW w:type="pct" w:w="8%"/>
            <w:tcMar>
              <w:top w:type="dxa" w:w="44"/>
              <w:left w:type="dxa" w:w="72"/>
              <w:bottom w:type="dxa" w:w="44"/>
              <w:right w:type="dxa" w:w="72"/>
            </w:tcMar>
          </w:tcPr>
          <w:p>
            <w:r>
              <w:rPr>
                <w:b/>
                <w:bCs/>
                <w:sz w:val="15"/>
                <w:szCs w:val="15"/>
              </w:rPr>
              <w:t xml:space="preserve">Left</w:t>
            </w:r>
          </w:p>
        </w:tc>
        <w:tc>
          <w:tcPr>
            <w:tcW w:type="pct" w:w="22%"/>
            <w:tcMar>
              <w:top w:type="dxa" w:w="44"/>
              <w:left w:type="dxa" w:w="72"/>
              <w:bottom w:type="dxa" w:w="44"/>
              <w:right w:type="dxa" w:w="72"/>
            </w:tcMar>
          </w:tcPr>
          <w:p>
            <w:r>
              <w:rPr>
                <w:b/>
                <w:bCs/>
                <w:sz w:val="15"/>
                <w:szCs w:val="15"/>
              </w:rPr>
              <w:t xml:space="preserve">State Head</w:t>
            </w:r>
          </w:p>
        </w:tc>
        <w:tc>
          <w:tcPr>
            <w:tcW w:type="pct" w:w="10%"/>
            <w:tcMar>
              <w:top w:type="dxa" w:w="44"/>
              <w:left w:type="dxa" w:w="72"/>
              <w:bottom w:type="dxa" w:w="44"/>
              <w:right w:type="dxa" w:w="72"/>
            </w:tcMar>
          </w:tcPr>
          <w:p>
            <w:r>
              <w:rPr>
                <w:b/>
                <w:bCs/>
                <w:sz w:val="15"/>
                <w:szCs w:val="15"/>
              </w:rPr>
              <w:t xml:space="preserve">Active</w:t>
            </w:r>
          </w:p>
        </w:tc>
        <w:tc>
          <w:tcPr>
            <w:tcW w:type="pct" w:w="8%"/>
            <w:tcMar>
              <w:top w:type="dxa" w:w="44"/>
              <w:left w:type="dxa" w:w="72"/>
              <w:bottom w:type="dxa" w:w="44"/>
              <w:right w:type="dxa" w:w="72"/>
            </w:tcMar>
          </w:tcPr>
          <w:p>
            <w:r>
              <w:rPr>
                <w:b/>
                <w:bCs/>
                <w:sz w:val="15"/>
                <w:szCs w:val="15"/>
              </w:rPr>
              <w:t xml:space="preserve">Left</w:t>
            </w:r>
          </w:p>
        </w:tc>
      </w:tr>
      <w:tr>
        <w:trPr>
          <w:tblHeader w:val="false"/>
        </w:trPr>
        <w:tc>
          <w:tcPr>
            <w:tcW w:type="pct" w:w="22%"/>
            <w:tcMar>
              <w:top w:type="dxa" w:w="44"/>
              <w:left w:type="dxa" w:w="72"/>
              <w:bottom w:type="dxa" w:w="44"/>
              <w:right w:type="dxa" w:w="72"/>
            </w:tcMar>
          </w:tcPr>
          <w:p>
            <w:r>
              <w:rPr>
                <w:b w:val="false"/>
                <w:bCs w:val="false"/>
                <w:sz w:val="15"/>
                <w:szCs w:val="15"/>
              </w:rPr>
              <w:t xml:space="preserve">Sandeep Dadheech</w:t>
            </w:r>
          </w:p>
        </w:tc>
        <w:tc>
          <w:tcPr>
            <w:tcW w:type="pct" w:w="10%"/>
            <w:tcMar>
              <w:top w:type="dxa" w:w="44"/>
              <w:left w:type="dxa" w:w="72"/>
              <w:bottom w:type="dxa" w:w="44"/>
              <w:right w:type="dxa" w:w="72"/>
            </w:tcMar>
          </w:tcPr>
          <w:p>
            <w:r>
              <w:rPr>
                <w:b w:val="false"/>
                <w:bCs w:val="false"/>
                <w:sz w:val="15"/>
                <w:szCs w:val="15"/>
              </w:rPr>
              <w:t xml:space="preserve">71</w:t>
            </w:r>
          </w:p>
        </w:tc>
        <w:tc>
          <w:tcPr>
            <w:tcW w:type="pct" w:w="8%"/>
            <w:tcMar>
              <w:top w:type="dxa" w:w="44"/>
              <w:left w:type="dxa" w:w="72"/>
              <w:bottom w:type="dxa" w:w="44"/>
              <w:right w:type="dxa" w:w="72"/>
            </w:tcMar>
          </w:tcPr>
          <w:p>
            <w:r>
              <w:rPr>
                <w:b w:val="false"/>
                <w:bCs w:val="false"/>
                <w:sz w:val="15"/>
                <w:szCs w:val="15"/>
              </w:rPr>
              <w:t xml:space="preserve">3</w:t>
            </w:r>
          </w:p>
        </w:tc>
        <w:tc>
          <w:tcPr>
            <w:tcW w:type="pct" w:w="22%"/>
            <w:tcMar>
              <w:top w:type="dxa" w:w="44"/>
              <w:left w:type="dxa" w:w="72"/>
              <w:bottom w:type="dxa" w:w="44"/>
              <w:right w:type="dxa" w:w="72"/>
            </w:tcMar>
          </w:tcPr>
          <w:p>
            <w:r>
              <w:rPr>
                <w:b w:val="false"/>
                <w:bCs w:val="false"/>
                <w:sz w:val="15"/>
                <w:szCs w:val="15"/>
              </w:rPr>
              <w:t xml:space="preserve">Sunil Patel</w:t>
            </w:r>
          </w:p>
        </w:tc>
        <w:tc>
          <w:tcPr>
            <w:tcW w:type="pct" w:w="10%"/>
            <w:tcMar>
              <w:top w:type="dxa" w:w="44"/>
              <w:left w:type="dxa" w:w="72"/>
              <w:bottom w:type="dxa" w:w="44"/>
              <w:right w:type="dxa" w:w="72"/>
            </w:tcMar>
          </w:tcPr>
          <w:p>
            <w:r>
              <w:rPr>
                <w:b w:val="false"/>
                <w:bCs w:val="false"/>
                <w:sz w:val="15"/>
                <w:szCs w:val="15"/>
              </w:rPr>
              <w:t xml:space="preserve">5</w:t>
            </w:r>
          </w:p>
        </w:tc>
        <w:tc>
          <w:tcPr>
            <w:tcW w:type="pct" w:w="8%"/>
            <w:tcMar>
              <w:top w:type="dxa" w:w="44"/>
              <w:left w:type="dxa" w:w="72"/>
              <w:bottom w:type="dxa" w:w="44"/>
              <w:right w:type="dxa" w:w="72"/>
            </w:tcMar>
          </w:tcPr>
          <w:p>
            <w:r>
              <w:rPr>
                <w:b w:val="false"/>
                <w:bCs w:val="false"/>
                <w:sz w:val="15"/>
                <w:szCs w:val="15"/>
              </w:rPr>
              <w:t xml:space="preserve">0</w:t>
            </w:r>
          </w:p>
        </w:tc>
      </w:tr>
      <w:tr>
        <w:trPr>
          <w:tblHeader w:val="false"/>
        </w:trPr>
        <w:tc>
          <w:tcPr>
            <w:tcW w:type="pct" w:w="22%"/>
            <w:tcMar>
              <w:top w:type="dxa" w:w="44"/>
              <w:left w:type="dxa" w:w="72"/>
              <w:bottom w:type="dxa" w:w="44"/>
              <w:right w:type="dxa" w:w="72"/>
            </w:tcMar>
          </w:tcPr>
          <w:p>
            <w:r>
              <w:rPr>
                <w:b w:val="false"/>
                <w:bCs w:val="false"/>
                <w:sz w:val="15"/>
                <w:szCs w:val="15"/>
              </w:rPr>
              <w:t xml:space="preserve">Syed Aqil Rizvi</w:t>
            </w:r>
          </w:p>
        </w:tc>
        <w:tc>
          <w:tcPr>
            <w:tcW w:type="pct" w:w="10%"/>
            <w:tcMar>
              <w:top w:type="dxa" w:w="44"/>
              <w:left w:type="dxa" w:w="72"/>
              <w:bottom w:type="dxa" w:w="44"/>
              <w:right w:type="dxa" w:w="72"/>
            </w:tcMar>
          </w:tcPr>
          <w:p>
            <w:r>
              <w:rPr>
                <w:b w:val="false"/>
                <w:bCs w:val="false"/>
                <w:sz w:val="15"/>
                <w:szCs w:val="15"/>
              </w:rPr>
              <w:t xml:space="preserve">32</w:t>
            </w:r>
          </w:p>
        </w:tc>
        <w:tc>
          <w:tcPr>
            <w:tcW w:type="pct" w:w="8%"/>
            <w:tcMar>
              <w:top w:type="dxa" w:w="44"/>
              <w:left w:type="dxa" w:w="72"/>
              <w:bottom w:type="dxa" w:w="44"/>
              <w:right w:type="dxa" w:w="72"/>
            </w:tcMar>
          </w:tcPr>
          <w:p>
            <w:r>
              <w:rPr>
                <w:b w:val="false"/>
                <w:bCs w:val="false"/>
                <w:sz w:val="15"/>
                <w:szCs w:val="15"/>
              </w:rPr>
              <w:t xml:space="preserve">0</w:t>
            </w:r>
          </w:p>
        </w:tc>
        <w:tc>
          <w:tcPr>
            <w:tcW w:type="pct" w:w="22%"/>
            <w:tcMar>
              <w:top w:type="dxa" w:w="44"/>
              <w:left w:type="dxa" w:w="72"/>
              <w:bottom w:type="dxa" w:w="44"/>
              <w:right w:type="dxa" w:w="72"/>
            </w:tcMar>
          </w:tcPr>
          <w:p>
            <w:r>
              <w:rPr>
                <w:b w:val="false"/>
                <w:bCs w:val="false"/>
                <w:sz w:val="15"/>
                <w:szCs w:val="15"/>
              </w:rPr>
              <w:t xml:space="preserve">Nasir Hussain Khan</w:t>
            </w:r>
          </w:p>
        </w:tc>
        <w:tc>
          <w:tcPr>
            <w:tcW w:type="pct" w:w="10%"/>
            <w:tcMar>
              <w:top w:type="dxa" w:w="44"/>
              <w:left w:type="dxa" w:w="72"/>
              <w:bottom w:type="dxa" w:w="44"/>
              <w:right w:type="dxa" w:w="72"/>
            </w:tcMar>
          </w:tcPr>
          <w:p>
            <w:r>
              <w:rPr>
                <w:b w:val="false"/>
                <w:bCs w:val="false"/>
                <w:sz w:val="15"/>
                <w:szCs w:val="15"/>
              </w:rPr>
              <w:t xml:space="preserve">5</w:t>
            </w:r>
          </w:p>
        </w:tc>
        <w:tc>
          <w:tcPr>
            <w:tcW w:type="pct" w:w="8%"/>
            <w:tcMar>
              <w:top w:type="dxa" w:w="44"/>
              <w:left w:type="dxa" w:w="72"/>
              <w:bottom w:type="dxa" w:w="44"/>
              <w:right w:type="dxa" w:w="72"/>
            </w:tcMar>
          </w:tcPr>
          <w:p>
            <w:r>
              <w:rPr>
                <w:b w:val="false"/>
                <w:bCs w:val="false"/>
                <w:sz w:val="15"/>
                <w:szCs w:val="15"/>
              </w:rPr>
              <w:t xml:space="preserve">0</w:t>
            </w:r>
          </w:p>
        </w:tc>
      </w:tr>
      <w:tr>
        <w:trPr>
          <w:tblHeader w:val="false"/>
        </w:trPr>
        <w:tc>
          <w:tcPr>
            <w:tcW w:type="pct" w:w="22%"/>
            <w:tcMar>
              <w:top w:type="dxa" w:w="44"/>
              <w:left w:type="dxa" w:w="72"/>
              <w:bottom w:type="dxa" w:w="44"/>
              <w:right w:type="dxa" w:w="72"/>
            </w:tcMar>
          </w:tcPr>
          <w:p>
            <w:r>
              <w:rPr>
                <w:b w:val="false"/>
                <w:bCs w:val="false"/>
                <w:sz w:val="15"/>
                <w:szCs w:val="15"/>
              </w:rPr>
              <w:t xml:space="preserve">Lalan Kumar</w:t>
            </w:r>
          </w:p>
        </w:tc>
        <w:tc>
          <w:tcPr>
            <w:tcW w:type="pct" w:w="10%"/>
            <w:tcMar>
              <w:top w:type="dxa" w:w="44"/>
              <w:left w:type="dxa" w:w="72"/>
              <w:bottom w:type="dxa" w:w="44"/>
              <w:right w:type="dxa" w:w="72"/>
            </w:tcMar>
          </w:tcPr>
          <w:p>
            <w:r>
              <w:rPr>
                <w:b w:val="false"/>
                <w:bCs w:val="false"/>
                <w:sz w:val="15"/>
                <w:szCs w:val="15"/>
              </w:rPr>
              <w:t xml:space="preserve">15</w:t>
            </w:r>
          </w:p>
        </w:tc>
        <w:tc>
          <w:tcPr>
            <w:tcW w:type="pct" w:w="8%"/>
            <w:tcMar>
              <w:top w:type="dxa" w:w="44"/>
              <w:left w:type="dxa" w:w="72"/>
              <w:bottom w:type="dxa" w:w="44"/>
              <w:right w:type="dxa" w:w="72"/>
            </w:tcMar>
          </w:tcPr>
          <w:p>
            <w:r>
              <w:rPr>
                <w:b w:val="false"/>
                <w:bCs w:val="false"/>
                <w:sz w:val="15"/>
                <w:szCs w:val="15"/>
              </w:rPr>
              <w:t xml:space="preserve">0</w:t>
            </w:r>
          </w:p>
        </w:tc>
        <w:tc>
          <w:tcPr>
            <w:tcW w:type="pct" w:w="22%"/>
            <w:tcMar>
              <w:top w:type="dxa" w:w="44"/>
              <w:left w:type="dxa" w:w="72"/>
              <w:bottom w:type="dxa" w:w="44"/>
              <w:right w:type="dxa" w:w="72"/>
            </w:tcMar>
          </w:tcPr>
          <w:p>
            <w:r>
              <w:rPr>
                <w:b w:val="false"/>
                <w:bCs w:val="false"/>
                <w:sz w:val="15"/>
                <w:szCs w:val="15"/>
              </w:rPr>
              <w:t xml:space="preserve">Sulinder Pal</w:t>
            </w:r>
          </w:p>
        </w:tc>
        <w:tc>
          <w:tcPr>
            <w:tcW w:type="pct" w:w="10%"/>
            <w:tcMar>
              <w:top w:type="dxa" w:w="44"/>
              <w:left w:type="dxa" w:w="72"/>
              <w:bottom w:type="dxa" w:w="44"/>
              <w:right w:type="dxa" w:w="72"/>
            </w:tcMar>
          </w:tcPr>
          <w:p>
            <w:r>
              <w:rPr>
                <w:b w:val="false"/>
                <w:bCs w:val="false"/>
                <w:sz w:val="15"/>
                <w:szCs w:val="15"/>
              </w:rPr>
              <w:t xml:space="preserve">5</w:t>
            </w:r>
          </w:p>
        </w:tc>
        <w:tc>
          <w:tcPr>
            <w:tcW w:type="pct" w:w="8%"/>
            <w:tcMar>
              <w:top w:type="dxa" w:w="44"/>
              <w:left w:type="dxa" w:w="72"/>
              <w:bottom w:type="dxa" w:w="44"/>
              <w:right w:type="dxa" w:w="72"/>
            </w:tcMar>
          </w:tcPr>
          <w:p>
            <w:r>
              <w:rPr>
                <w:b w:val="false"/>
                <w:bCs w:val="false"/>
                <w:sz w:val="15"/>
                <w:szCs w:val="15"/>
              </w:rPr>
              <w:t xml:space="preserve">0</w:t>
            </w:r>
          </w:p>
        </w:tc>
      </w:tr>
      <w:tr>
        <w:trPr>
          <w:tblHeader w:val="false"/>
        </w:trPr>
        <w:tc>
          <w:tcPr>
            <w:tcW w:type="pct" w:w="22%"/>
            <w:tcMar>
              <w:top w:type="dxa" w:w="44"/>
              <w:left w:type="dxa" w:w="72"/>
              <w:bottom w:type="dxa" w:w="44"/>
              <w:right w:type="dxa" w:w="72"/>
            </w:tcMar>
          </w:tcPr>
          <w:p>
            <w:r>
              <w:rPr>
                <w:b w:val="false"/>
                <w:bCs w:val="false"/>
                <w:sz w:val="15"/>
                <w:szCs w:val="15"/>
              </w:rPr>
              <w:t xml:space="preserve">Anant Singh</w:t>
            </w:r>
          </w:p>
        </w:tc>
        <w:tc>
          <w:tcPr>
            <w:tcW w:type="pct" w:w="10%"/>
            <w:tcMar>
              <w:top w:type="dxa" w:w="44"/>
              <w:left w:type="dxa" w:w="72"/>
              <w:bottom w:type="dxa" w:w="44"/>
              <w:right w:type="dxa" w:w="72"/>
            </w:tcMar>
          </w:tcPr>
          <w:p>
            <w:r>
              <w:rPr>
                <w:b w:val="false"/>
                <w:bCs w:val="false"/>
                <w:sz w:val="15"/>
                <w:szCs w:val="15"/>
              </w:rPr>
              <w:t xml:space="preserve">10</w:t>
            </w:r>
          </w:p>
        </w:tc>
        <w:tc>
          <w:tcPr>
            <w:tcW w:type="pct" w:w="8%"/>
            <w:tcMar>
              <w:top w:type="dxa" w:w="44"/>
              <w:left w:type="dxa" w:w="72"/>
              <w:bottom w:type="dxa" w:w="44"/>
              <w:right w:type="dxa" w:w="72"/>
            </w:tcMar>
          </w:tcPr>
          <w:p>
            <w:r>
              <w:rPr>
                <w:b w:val="false"/>
                <w:bCs w:val="false"/>
                <w:sz w:val="15"/>
                <w:szCs w:val="15"/>
              </w:rPr>
              <w:t xml:space="preserve">3</w:t>
            </w:r>
          </w:p>
        </w:tc>
        <w:tc>
          <w:tcPr>
            <w:tcW w:type="pct" w:w="22%"/>
            <w:tcMar>
              <w:top w:type="dxa" w:w="44"/>
              <w:left w:type="dxa" w:w="72"/>
              <w:bottom w:type="dxa" w:w="44"/>
              <w:right w:type="dxa" w:w="72"/>
            </w:tcMar>
          </w:tcPr>
          <w:p>
            <w:r>
              <w:rPr>
                <w:b w:val="false"/>
                <w:bCs w:val="false"/>
                <w:sz w:val="15"/>
                <w:szCs w:val="15"/>
              </w:rPr>
              <w:t xml:space="preserve">Prashant Onam Naik</w:t>
            </w:r>
          </w:p>
        </w:tc>
        <w:tc>
          <w:tcPr>
            <w:tcW w:type="pct" w:w="10%"/>
            <w:tcMar>
              <w:top w:type="dxa" w:w="44"/>
              <w:left w:type="dxa" w:w="72"/>
              <w:bottom w:type="dxa" w:w="44"/>
              <w:right w:type="dxa" w:w="72"/>
            </w:tcMar>
          </w:tcPr>
          <w:p>
            <w:r>
              <w:rPr>
                <w:b w:val="false"/>
                <w:bCs w:val="false"/>
                <w:sz w:val="15"/>
                <w:szCs w:val="15"/>
              </w:rPr>
              <w:t xml:space="preserve">4</w:t>
            </w:r>
          </w:p>
        </w:tc>
        <w:tc>
          <w:tcPr>
            <w:tcW w:type="pct" w:w="8%"/>
            <w:tcMar>
              <w:top w:type="dxa" w:w="44"/>
              <w:left w:type="dxa" w:w="72"/>
              <w:bottom w:type="dxa" w:w="44"/>
              <w:right w:type="dxa" w:w="72"/>
            </w:tcMar>
          </w:tcPr>
          <w:p>
            <w:r>
              <w:rPr>
                <w:b w:val="false"/>
                <w:bCs w:val="false"/>
                <w:sz w:val="15"/>
                <w:szCs w:val="15"/>
              </w:rPr>
              <w:t xml:space="preserve">1</w:t>
            </w:r>
          </w:p>
        </w:tc>
      </w:tr>
      <w:tr>
        <w:trPr>
          <w:tblHeader w:val="false"/>
        </w:trPr>
        <w:tc>
          <w:tcPr>
            <w:tcW w:type="pct" w:w="22%"/>
            <w:tcMar>
              <w:top w:type="dxa" w:w="44"/>
              <w:left w:type="dxa" w:w="72"/>
              <w:bottom w:type="dxa" w:w="44"/>
              <w:right w:type="dxa" w:w="72"/>
            </w:tcMar>
          </w:tcPr>
          <w:p>
            <w:r>
              <w:rPr>
                <w:b w:val="false"/>
                <w:bCs w:val="false"/>
                <w:sz w:val="15"/>
                <w:szCs w:val="15"/>
              </w:rPr>
              <w:t xml:space="preserve">Biju C.O</w:t>
            </w:r>
          </w:p>
        </w:tc>
        <w:tc>
          <w:tcPr>
            <w:tcW w:type="pct" w:w="10%"/>
            <w:tcMar>
              <w:top w:type="dxa" w:w="44"/>
              <w:left w:type="dxa" w:w="72"/>
              <w:bottom w:type="dxa" w:w="44"/>
              <w:right w:type="dxa" w:w="72"/>
            </w:tcMar>
          </w:tcPr>
          <w:p>
            <w:r>
              <w:rPr>
                <w:b w:val="false"/>
                <w:bCs w:val="false"/>
                <w:sz w:val="15"/>
                <w:szCs w:val="15"/>
              </w:rPr>
              <w:t xml:space="preserve">11</w:t>
            </w:r>
          </w:p>
        </w:tc>
        <w:tc>
          <w:tcPr>
            <w:tcW w:type="pct" w:w="8%"/>
            <w:tcMar>
              <w:top w:type="dxa" w:w="44"/>
              <w:left w:type="dxa" w:w="72"/>
              <w:bottom w:type="dxa" w:w="44"/>
              <w:right w:type="dxa" w:w="72"/>
            </w:tcMar>
          </w:tcPr>
          <w:p>
            <w:r>
              <w:rPr>
                <w:b w:val="false"/>
                <w:bCs w:val="false"/>
                <w:sz w:val="15"/>
                <w:szCs w:val="15"/>
              </w:rPr>
              <w:t xml:space="preserve">1</w:t>
            </w:r>
          </w:p>
        </w:tc>
        <w:tc>
          <w:tcPr>
            <w:tcW w:type="pct" w:w="22%"/>
            <w:tcMar>
              <w:top w:type="dxa" w:w="44"/>
              <w:left w:type="dxa" w:w="72"/>
              <w:bottom w:type="dxa" w:w="44"/>
              <w:right w:type="dxa" w:w="72"/>
            </w:tcMar>
          </w:tcPr>
          <w:p>
            <w:r>
              <w:rPr>
                <w:b w:val="false"/>
                <w:bCs w:val="false"/>
                <w:sz w:val="15"/>
                <w:szCs w:val="15"/>
              </w:rPr>
              <w:t xml:space="preserve">Sunil Mohanty</w:t>
            </w:r>
          </w:p>
        </w:tc>
        <w:tc>
          <w:tcPr>
            <w:tcW w:type="pct" w:w="10%"/>
            <w:tcMar>
              <w:top w:type="dxa" w:w="44"/>
              <w:left w:type="dxa" w:w="72"/>
              <w:bottom w:type="dxa" w:w="44"/>
              <w:right w:type="dxa" w:w="72"/>
            </w:tcMar>
          </w:tcPr>
          <w:p>
            <w:r>
              <w:rPr>
                <w:b w:val="false"/>
                <w:bCs w:val="false"/>
                <w:sz w:val="15"/>
                <w:szCs w:val="15"/>
              </w:rPr>
              <w:t xml:space="preserve">2</w:t>
            </w:r>
          </w:p>
        </w:tc>
        <w:tc>
          <w:tcPr>
            <w:tcW w:type="pct" w:w="8%"/>
            <w:tcMar>
              <w:top w:type="dxa" w:w="44"/>
              <w:left w:type="dxa" w:w="72"/>
              <w:bottom w:type="dxa" w:w="44"/>
              <w:right w:type="dxa" w:w="72"/>
            </w:tcMar>
          </w:tcPr>
          <w:p>
            <w:r>
              <w:rPr>
                <w:b w:val="false"/>
                <w:bCs w:val="false"/>
                <w:sz w:val="15"/>
                <w:szCs w:val="15"/>
              </w:rPr>
              <w:t xml:space="preserve">1</w:t>
            </w:r>
          </w:p>
        </w:tc>
      </w:tr>
      <w:tr>
        <w:trPr>
          <w:tblHeader w:val="false"/>
        </w:trPr>
        <w:tc>
          <w:tcPr>
            <w:tcW w:type="pct" w:w="22%"/>
            <w:tcMar>
              <w:top w:type="dxa" w:w="44"/>
              <w:left w:type="dxa" w:w="72"/>
              <w:bottom w:type="dxa" w:w="44"/>
              <w:right w:type="dxa" w:w="72"/>
            </w:tcMar>
          </w:tcPr>
          <w:p>
            <w:r>
              <w:rPr>
                <w:b w:val="false"/>
                <w:bCs w:val="false"/>
                <w:sz w:val="15"/>
                <w:szCs w:val="15"/>
              </w:rPr>
              <w:t xml:space="preserve">Pawan Sharma</w:t>
            </w:r>
          </w:p>
        </w:tc>
        <w:tc>
          <w:tcPr>
            <w:tcW w:type="pct" w:w="10%"/>
            <w:tcMar>
              <w:top w:type="dxa" w:w="44"/>
              <w:left w:type="dxa" w:w="72"/>
              <w:bottom w:type="dxa" w:w="44"/>
              <w:right w:type="dxa" w:w="72"/>
            </w:tcMar>
          </w:tcPr>
          <w:p>
            <w:r>
              <w:rPr>
                <w:b w:val="false"/>
                <w:bCs w:val="false"/>
                <w:sz w:val="15"/>
                <w:szCs w:val="15"/>
              </w:rPr>
              <w:t xml:space="preserve">8</w:t>
            </w:r>
          </w:p>
        </w:tc>
        <w:tc>
          <w:tcPr>
            <w:tcW w:type="pct" w:w="8%"/>
            <w:tcMar>
              <w:top w:type="dxa" w:w="44"/>
              <w:left w:type="dxa" w:w="72"/>
              <w:bottom w:type="dxa" w:w="44"/>
              <w:right w:type="dxa" w:w="72"/>
            </w:tcMar>
          </w:tcPr>
          <w:p>
            <w:r>
              <w:rPr>
                <w:b w:val="false"/>
                <w:bCs w:val="false"/>
                <w:sz w:val="15"/>
                <w:szCs w:val="15"/>
              </w:rPr>
              <w:t xml:space="preserve">3</w:t>
            </w:r>
          </w:p>
        </w:tc>
        <w:tc>
          <w:tcPr>
            <w:tcW w:type="pct" w:w="22%"/>
            <w:tcMar>
              <w:top w:type="dxa" w:w="44"/>
              <w:left w:type="dxa" w:w="72"/>
              <w:bottom w:type="dxa" w:w="44"/>
              <w:right w:type="dxa" w:w="72"/>
            </w:tcMar>
          </w:tcPr>
          <w:p>
            <w:r>
              <w:rPr>
                <w:b w:val="false"/>
                <w:bCs w:val="false"/>
                <w:sz w:val="15"/>
                <w:szCs w:val="15"/>
              </w:rPr>
              <w:t xml:space="preserve">Anuj Sharma</w:t>
            </w:r>
          </w:p>
        </w:tc>
        <w:tc>
          <w:tcPr>
            <w:tcW w:type="pct" w:w="10%"/>
            <w:tcMar>
              <w:top w:type="dxa" w:w="44"/>
              <w:left w:type="dxa" w:w="72"/>
              <w:bottom w:type="dxa" w:w="44"/>
              <w:right w:type="dxa" w:w="72"/>
            </w:tcMar>
          </w:tcPr>
          <w:p>
            <w:r>
              <w:rPr>
                <w:b w:val="false"/>
                <w:bCs w:val="false"/>
                <w:sz w:val="15"/>
                <w:szCs w:val="15"/>
              </w:rPr>
              <w:t xml:space="preserve">2</w:t>
            </w:r>
          </w:p>
        </w:tc>
        <w:tc>
          <w:tcPr>
            <w:tcW w:type="pct" w:w="8%"/>
            <w:tcMar>
              <w:top w:type="dxa" w:w="44"/>
              <w:left w:type="dxa" w:w="72"/>
              <w:bottom w:type="dxa" w:w="44"/>
              <w:right w:type="dxa" w:w="72"/>
            </w:tcMar>
          </w:tcPr>
          <w:p>
            <w:r>
              <w:rPr>
                <w:b w:val="false"/>
                <w:bCs w:val="false"/>
                <w:sz w:val="15"/>
                <w:szCs w:val="15"/>
              </w:rPr>
              <w:t xml:space="preserve">0</w:t>
            </w:r>
          </w:p>
        </w:tc>
      </w:tr>
    </w:tbl>
    <w:p>
      <w:pPr>
        <w:pBdr>
          <w:top w:val="single" w:color="BBCCDD" w:sz="6" w:space="6"/>
          <w:bottom w:val="single" w:color="BBCCDD" w:sz="6" w:space="6"/>
          <w:left w:val="single" w:color="BBCCDD" w:sz="6" w:space="6"/>
          <w:right w:val="single" w:color="BBCCDD" w:sz="6" w:space="6"/>
        </w:pBdr>
        <w:shd w:fill="EEF3F7" w:color="auto" w:val="clear"/>
        <w:spacing w:after="120"/>
      </w:pPr>
      <w:r>
        <w:t xml:space="preserve">Twelve leavers company-wide still carry Rs 0.37 Cr of order booking against Rs 1.70 Cr of to-date target. They must stay in historical figures and be excluded from current-period performance views - which is exactly what the organisation work specified, and the source column to drive it already exists.</w:t>
      </w:r>
    </w:p>
    <w:p>
      <w:pPr>
        <w:pStyle w:val="Heading1"/>
        <w:spacing w:after="100" w:before="240"/>
      </w:pPr>
      <w:r>
        <w:rPr>
          <w:b/>
          <w:bCs/>
        </w:rPr>
        <w:t xml:space="preserve">Column BD already holds per-member elapsed months</w:t>
      </w:r>
    </w:p>
    <w:p>
      <w:pPr>
        <w:spacing w:after="100"/>
      </w:pPr>
      <w:r>
        <w:t xml:space="preserve">BD is headed 'Jun' and holds a NUMBER, not a month name. For 152 members it reads 3.00. For the rest it is fractional - Shiv Kumar 1.17, Ravi Upadhyay 1.01, Jagdev 2.43, Rahul Singh 0.47.</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This is the pro-rata factor the targets are already built on, computed per member for partial tenure. The application should READ it rather than deriving its own elapsed-month figure, which would drift from the sheet the targets came from. It also explains the partial-tenure cases cleanly: Rahul Singh's target is small because BD says 0.47 months, not because anything is broken.</w:t>
      </w:r>
    </w:p>
    <w:p>
      <w:pPr>
        <w:pStyle w:val="Heading1"/>
        <w:spacing w:after="100" w:before="240"/>
      </w:pPr>
      <w:r>
        <w:rPr>
          <w:b/>
          <w:bCs/>
        </w:rPr>
        <w:t xml:space="preserve">Not every source can answer a monthly question</w:t>
      </w:r>
    </w:p>
    <w:p>
      <w:pPr>
        <w:spacing w:after="100"/>
      </w:pPr>
      <w:r>
        <w:t xml:space="preserve">The global filter cannot simply be passed to every page, because the sources differ in what they can support. Verified by inspecting every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Mar>
              <w:top w:type="dxa" w:w="44"/>
              <w:left w:type="dxa" w:w="72"/>
              <w:bottom w:type="dxa" w:w="44"/>
              <w:right w:type="dxa" w:w="72"/>
            </w:tcMar>
          </w:tcPr>
          <w:p>
            <w:r>
              <w:rPr>
                <w:b/>
                <w:bCs/>
                <w:sz w:val="15"/>
                <w:szCs w:val="15"/>
              </w:rPr>
              <w:t xml:space="preserve">Source</w:t>
            </w:r>
          </w:p>
        </w:tc>
        <w:tc>
          <w:tcPr>
            <w:tcW w:type="pct" w:w="10%"/>
            <w:tcMar>
              <w:top w:type="dxa" w:w="44"/>
              <w:left w:type="dxa" w:w="72"/>
              <w:bottom w:type="dxa" w:w="44"/>
              <w:right w:type="dxa" w:w="72"/>
            </w:tcMar>
          </w:tcPr>
          <w:p>
            <w:r>
              <w:rPr>
                <w:b/>
                <w:bCs/>
                <w:sz w:val="15"/>
                <w:szCs w:val="15"/>
              </w:rPr>
              <w:t xml:space="preserve">Monthly?</w:t>
            </w:r>
          </w:p>
        </w:tc>
        <w:tc>
          <w:tcPr>
            <w:tcW w:type="pct" w:w="30%"/>
            <w:tcMar>
              <w:top w:type="dxa" w:w="44"/>
              <w:left w:type="dxa" w:w="72"/>
              <w:bottom w:type="dxa" w:w="44"/>
              <w:right w:type="dxa" w:w="72"/>
            </w:tcMar>
          </w:tcPr>
          <w:p>
            <w:r>
              <w:rPr>
                <w:b/>
                <w:bCs/>
                <w:sz w:val="15"/>
                <w:szCs w:val="15"/>
              </w:rPr>
              <w:t xml:space="preserve">What it holds</w:t>
            </w:r>
          </w:p>
        </w:tc>
        <w:tc>
          <w:tcPr>
            <w:tcW w:type="pct" w:w="30%"/>
            <w:tcMar>
              <w:top w:type="dxa" w:w="44"/>
              <w:left w:type="dxa" w:w="72"/>
              <w:bottom w:type="dxa" w:w="44"/>
              <w:right w:type="dxa" w:w="72"/>
            </w:tcMar>
          </w:tcPr>
          <w:p>
            <w:r>
              <w:rPr>
                <w:b/>
                <w:bCs/>
                <w:sz w:val="15"/>
                <w:szCs w:val="15"/>
              </w:rPr>
              <w:t xml:space="preserve">Consequence</w:t>
            </w:r>
          </w:p>
        </w:tc>
      </w:tr>
      <w:tr>
        <w:trPr>
          <w:tblHeader w:val="false"/>
        </w:trPr>
        <w:tc>
          <w:tcPr>
            <w:tcW w:type="pct" w:w="30%"/>
            <w:tcMar>
              <w:top w:type="dxa" w:w="44"/>
              <w:left w:type="dxa" w:w="72"/>
              <w:bottom w:type="dxa" w:w="44"/>
              <w:right w:type="dxa" w:w="72"/>
            </w:tcMar>
          </w:tcPr>
          <w:p>
            <w:r>
              <w:rPr>
                <w:b w:val="false"/>
                <w:bCs w:val="false"/>
                <w:sz w:val="15"/>
                <w:szCs w:val="15"/>
              </w:rPr>
              <w:t xml:space="preserve">SECONDARY ORDER BOOKING REPORT tab</w:t>
            </w:r>
          </w:p>
        </w:tc>
        <w:tc>
          <w:tcPr>
            <w:tcW w:type="pct" w:w="10%"/>
            <w:tcMar>
              <w:top w:type="dxa" w:w="44"/>
              <w:left w:type="dxa" w:w="72"/>
              <w:bottom w:type="dxa" w:w="44"/>
              <w:right w:type="dxa" w:w="72"/>
            </w:tcMar>
          </w:tcPr>
          <w:p>
            <w:r>
              <w:rPr>
                <w:b w:val="false"/>
                <w:bCs w:val="false"/>
                <w:sz w:val="15"/>
                <w:szCs w:val="15"/>
              </w:rPr>
              <w:t xml:space="preserve">YES</w:t>
            </w:r>
          </w:p>
        </w:tc>
        <w:tc>
          <w:tcPr>
            <w:tcW w:type="pct" w:w="30%"/>
            <w:tcMar>
              <w:top w:type="dxa" w:w="44"/>
              <w:left w:type="dxa" w:w="72"/>
              <w:bottom w:type="dxa" w:w="44"/>
              <w:right w:type="dxa" w:w="72"/>
            </w:tcMar>
          </w:tcPr>
          <w:p>
            <w:r>
              <w:rPr>
                <w:b w:val="false"/>
                <w:bCs w:val="false"/>
                <w:sz w:val="15"/>
                <w:szCs w:val="15"/>
              </w:rPr>
              <w:t xml:space="preserve">12 monthly blocks, 7 columns each</w:t>
            </w:r>
          </w:p>
        </w:tc>
        <w:tc>
          <w:tcPr>
            <w:tcW w:type="pct" w:w="30%"/>
            <w:tcMar>
              <w:top w:type="dxa" w:w="44"/>
              <w:left w:type="dxa" w:w="72"/>
              <w:bottom w:type="dxa" w:w="44"/>
              <w:right w:type="dxa" w:w="72"/>
            </w:tcMar>
          </w:tcPr>
          <w:p>
            <w:r>
              <w:rPr>
                <w:b w:val="false"/>
                <w:bCs w:val="false"/>
                <w:sz w:val="15"/>
                <w:szCs w:val="15"/>
              </w:rPr>
              <w:t xml:space="preserve">Full monthly, quarterly and YTD</w:t>
            </w:r>
          </w:p>
        </w:tc>
      </w:tr>
      <w:tr>
        <w:trPr>
          <w:tblHeader w:val="false"/>
        </w:trPr>
        <w:tc>
          <w:tcPr>
            <w:tcW w:type="pct" w:w="30%"/>
            <w:tcMar>
              <w:top w:type="dxa" w:w="44"/>
              <w:left w:type="dxa" w:w="72"/>
              <w:bottom w:type="dxa" w:w="44"/>
              <w:right w:type="dxa" w:w="72"/>
            </w:tcMar>
          </w:tcPr>
          <w:p>
            <w:r>
              <w:rPr>
                <w:b w:val="false"/>
                <w:bCs w:val="false"/>
                <w:sz w:val="15"/>
                <w:szCs w:val="15"/>
              </w:rPr>
              <w:t xml:space="preserve">Data tab</w:t>
            </w:r>
          </w:p>
        </w:tc>
        <w:tc>
          <w:tcPr>
            <w:tcW w:type="pct" w:w="10%"/>
            <w:tcMar>
              <w:top w:type="dxa" w:w="44"/>
              <w:left w:type="dxa" w:w="72"/>
              <w:bottom w:type="dxa" w:w="44"/>
              <w:right w:type="dxa" w:w="72"/>
            </w:tcMar>
          </w:tcPr>
          <w:p>
            <w:r>
              <w:rPr>
                <w:b w:val="false"/>
                <w:bCs w:val="false"/>
                <w:sz w:val="15"/>
                <w:szCs w:val="15"/>
              </w:rPr>
              <w:t xml:space="preserve">NO</w:t>
            </w:r>
          </w:p>
        </w:tc>
        <w:tc>
          <w:tcPr>
            <w:tcW w:type="pct" w:w="30%"/>
            <w:tcMar>
              <w:top w:type="dxa" w:w="44"/>
              <w:left w:type="dxa" w:w="72"/>
              <w:bottom w:type="dxa" w:w="44"/>
              <w:right w:type="dxa" w:w="72"/>
            </w:tcMar>
          </w:tcPr>
          <w:p>
            <w:r>
              <w:rPr>
                <w:b w:val="false"/>
                <w:bCs w:val="false"/>
                <w:sz w:val="15"/>
                <w:szCs w:val="15"/>
              </w:rPr>
              <w:t xml:space="preserve">Cumulative to date only. Quarterly cols BO-BR are LAST YEAR</w:t>
            </w:r>
          </w:p>
        </w:tc>
        <w:tc>
          <w:tcPr>
            <w:tcW w:type="pct" w:w="30%"/>
            <w:tcMar>
              <w:top w:type="dxa" w:w="44"/>
              <w:left w:type="dxa" w:w="72"/>
              <w:bottom w:type="dxa" w:w="44"/>
              <w:right w:type="dxa" w:w="72"/>
            </w:tcMar>
          </w:tcPr>
          <w:p>
            <w:r>
              <w:rPr>
                <w:b w:val="false"/>
                <w:bCs w:val="false"/>
                <w:sz w:val="15"/>
                <w:szCs w:val="15"/>
              </w:rPr>
              <w:t xml:space="preserve">Cannot answer a single-month question at all</w:t>
            </w:r>
          </w:p>
        </w:tc>
      </w:tr>
      <w:tr>
        <w:trPr>
          <w:tblHeader w:val="false"/>
        </w:trPr>
        <w:tc>
          <w:tcPr>
            <w:tcW w:type="pct" w:w="30%"/>
            <w:tcMar>
              <w:top w:type="dxa" w:w="44"/>
              <w:left w:type="dxa" w:w="72"/>
              <w:bottom w:type="dxa" w:w="44"/>
              <w:right w:type="dxa" w:w="72"/>
            </w:tcMar>
          </w:tcPr>
          <w:p>
            <w:r>
              <w:rPr>
                <w:b w:val="false"/>
                <w:bCs w:val="false"/>
                <w:sz w:val="15"/>
                <w:szCs w:val="15"/>
              </w:rPr>
              <w:t xml:space="preserve">Primary Team Members / Low Performers / Summary tabs</w:t>
            </w:r>
          </w:p>
        </w:tc>
        <w:tc>
          <w:tcPr>
            <w:tcW w:type="pct" w:w="10%"/>
            <w:tcMar>
              <w:top w:type="dxa" w:w="44"/>
              <w:left w:type="dxa" w:w="72"/>
              <w:bottom w:type="dxa" w:w="44"/>
              <w:right w:type="dxa" w:w="72"/>
            </w:tcMar>
          </w:tcPr>
          <w:p>
            <w:r>
              <w:rPr>
                <w:b w:val="false"/>
                <w:bCs w:val="false"/>
                <w:sz w:val="15"/>
                <w:szCs w:val="15"/>
              </w:rPr>
              <w:t xml:space="preserve">NO</w:t>
            </w:r>
          </w:p>
        </w:tc>
        <w:tc>
          <w:tcPr>
            <w:tcW w:type="pct" w:w="30%"/>
            <w:tcMar>
              <w:top w:type="dxa" w:w="44"/>
              <w:left w:type="dxa" w:w="72"/>
              <w:bottom w:type="dxa" w:w="44"/>
              <w:right w:type="dxa" w:w="72"/>
            </w:tcMar>
          </w:tcPr>
          <w:p>
            <w:r>
              <w:rPr>
                <w:b w:val="false"/>
                <w:bCs w:val="false"/>
                <w:sz w:val="15"/>
                <w:szCs w:val="15"/>
              </w:rPr>
              <w:t xml:space="preserve">No date headers</w:t>
            </w:r>
          </w:p>
        </w:tc>
        <w:tc>
          <w:tcPr>
            <w:tcW w:type="pct" w:w="30%"/>
            <w:tcMar>
              <w:top w:type="dxa" w:w="44"/>
              <w:left w:type="dxa" w:w="72"/>
              <w:bottom w:type="dxa" w:w="44"/>
              <w:right w:type="dxa" w:w="72"/>
            </w:tcMar>
          </w:tcPr>
          <w:p>
            <w:r>
              <w:rPr>
                <w:b w:val="false"/>
                <w:bCs w:val="false"/>
                <w:sz w:val="15"/>
                <w:szCs w:val="15"/>
              </w:rPr>
              <w:t xml:space="preserve">YTD only</w:t>
            </w:r>
          </w:p>
        </w:tc>
      </w:tr>
      <w:tr>
        <w:trPr>
          <w:tblHeader w:val="false"/>
        </w:trPr>
        <w:tc>
          <w:tcPr>
            <w:tcW w:type="pct" w:w="30%"/>
            <w:tcMar>
              <w:top w:type="dxa" w:w="44"/>
              <w:left w:type="dxa" w:w="72"/>
              <w:bottom w:type="dxa" w:w="44"/>
              <w:right w:type="dxa" w:w="72"/>
            </w:tcMar>
          </w:tcPr>
          <w:p>
            <w:r>
              <w:rPr>
                <w:b w:val="false"/>
                <w:bCs w:val="false"/>
                <w:sz w:val="15"/>
                <w:szCs w:val="15"/>
              </w:rPr>
              <w:t xml:space="preserve">sale_line register (primary)</w:t>
            </w:r>
          </w:p>
        </w:tc>
        <w:tc>
          <w:tcPr>
            <w:tcW w:type="pct" w:w="10%"/>
            <w:tcMar>
              <w:top w:type="dxa" w:w="44"/>
              <w:left w:type="dxa" w:w="72"/>
              <w:bottom w:type="dxa" w:w="44"/>
              <w:right w:type="dxa" w:w="72"/>
            </w:tcMar>
          </w:tcPr>
          <w:p>
            <w:r>
              <w:rPr>
                <w:b w:val="false"/>
                <w:bCs w:val="false"/>
                <w:sz w:val="15"/>
                <w:szCs w:val="15"/>
              </w:rPr>
              <w:t xml:space="preserve">YES</w:t>
            </w:r>
          </w:p>
        </w:tc>
        <w:tc>
          <w:tcPr>
            <w:tcW w:type="pct" w:w="30%"/>
            <w:tcMar>
              <w:top w:type="dxa" w:w="44"/>
              <w:left w:type="dxa" w:w="72"/>
              <w:bottom w:type="dxa" w:w="44"/>
              <w:right w:type="dxa" w:w="72"/>
            </w:tcMar>
          </w:tcPr>
          <w:p>
            <w:r>
              <w:rPr>
                <w:b w:val="false"/>
                <w:bCs w:val="false"/>
                <w:sz w:val="15"/>
                <w:szCs w:val="15"/>
              </w:rPr>
              <w:t xml:space="preserve">month_label per row</w:t>
            </w:r>
          </w:p>
        </w:tc>
        <w:tc>
          <w:tcPr>
            <w:tcW w:type="pct" w:w="30%"/>
            <w:tcMar>
              <w:top w:type="dxa" w:w="44"/>
              <w:left w:type="dxa" w:w="72"/>
              <w:bottom w:type="dxa" w:w="44"/>
              <w:right w:type="dxa" w:w="72"/>
            </w:tcMar>
          </w:tcPr>
          <w:p>
            <w:r>
              <w:rPr>
                <w:b w:val="false"/>
                <w:bCs w:val="false"/>
                <w:sz w:val="15"/>
                <w:szCs w:val="15"/>
              </w:rPr>
              <w:t xml:space="preserve">Full monthly</w:t>
            </w:r>
          </w:p>
        </w:tc>
      </w:tr>
      <w:tr>
        <w:trPr>
          <w:tblHeader w:val="false"/>
        </w:trPr>
        <w:tc>
          <w:tcPr>
            <w:tcW w:type="pct" w:w="30%"/>
            <w:tcMar>
              <w:top w:type="dxa" w:w="44"/>
              <w:left w:type="dxa" w:w="72"/>
              <w:bottom w:type="dxa" w:w="44"/>
              <w:right w:type="dxa" w:w="72"/>
            </w:tcMar>
          </w:tcPr>
          <w:p>
            <w:r>
              <w:rPr>
                <w:b w:val="false"/>
                <w:bCs w:val="false"/>
                <w:sz w:val="15"/>
                <w:szCs w:val="15"/>
              </w:rPr>
              <w:t xml:space="preserve">Member working sheets</w:t>
            </w:r>
          </w:p>
        </w:tc>
        <w:tc>
          <w:tcPr>
            <w:tcW w:type="pct" w:w="10%"/>
            <w:tcMar>
              <w:top w:type="dxa" w:w="44"/>
              <w:left w:type="dxa" w:w="72"/>
              <w:bottom w:type="dxa" w:w="44"/>
              <w:right w:type="dxa" w:w="72"/>
            </w:tcMar>
          </w:tcPr>
          <w:p>
            <w:r>
              <w:rPr>
                <w:b w:val="false"/>
                <w:bCs w:val="false"/>
                <w:sz w:val="15"/>
                <w:szCs w:val="15"/>
              </w:rPr>
              <w:t xml:space="preserve">YES</w:t>
            </w:r>
          </w:p>
        </w:tc>
        <w:tc>
          <w:tcPr>
            <w:tcW w:type="pct" w:w="30%"/>
            <w:tcMar>
              <w:top w:type="dxa" w:w="44"/>
              <w:left w:type="dxa" w:w="72"/>
              <w:bottom w:type="dxa" w:w="44"/>
              <w:right w:type="dxa" w:w="72"/>
            </w:tcMar>
          </w:tcPr>
          <w:p>
            <w:r>
              <w:rPr>
                <w:b w:val="false"/>
                <w:bCs w:val="false"/>
                <w:sz w:val="15"/>
                <w:szCs w:val="15"/>
              </w:rPr>
              <w:t xml:space="preserve">Monthly grid tab per year</w:t>
            </w:r>
          </w:p>
        </w:tc>
        <w:tc>
          <w:tcPr>
            <w:tcW w:type="pct" w:w="30%"/>
            <w:tcMar>
              <w:top w:type="dxa" w:w="44"/>
              <w:left w:type="dxa" w:w="72"/>
              <w:bottom w:type="dxa" w:w="44"/>
              <w:right w:type="dxa" w:w="72"/>
            </w:tcMar>
          </w:tcPr>
          <w:p>
            <w:r>
              <w:rPr>
                <w:b w:val="false"/>
                <w:bCs w:val="false"/>
                <w:sz w:val="15"/>
                <w:szCs w:val="15"/>
              </w:rPr>
              <w:t xml:space="preserve">Full monthly</w:t>
            </w:r>
          </w:p>
        </w:tc>
      </w:tr>
      <w:tr>
        <w:trPr>
          <w:tblHeader w:val="false"/>
        </w:trPr>
        <w:tc>
          <w:tcPr>
            <w:tcW w:type="pct" w:w="30%"/>
            <w:tcMar>
              <w:top w:type="dxa" w:w="44"/>
              <w:left w:type="dxa" w:w="72"/>
              <w:bottom w:type="dxa" w:w="44"/>
              <w:right w:type="dxa" w:w="72"/>
            </w:tcMar>
          </w:tcPr>
          <w:p>
            <w:r>
              <w:rPr>
                <w:b w:val="false"/>
                <w:bCs w:val="false"/>
                <w:sz w:val="15"/>
                <w:szCs w:val="15"/>
              </w:rPr>
              <w:t xml:space="preserve">Secondary registers (closed years)</w:t>
            </w:r>
          </w:p>
        </w:tc>
        <w:tc>
          <w:tcPr>
            <w:tcW w:type="pct" w:w="10%"/>
            <w:tcMar>
              <w:top w:type="dxa" w:w="44"/>
              <w:left w:type="dxa" w:w="72"/>
              <w:bottom w:type="dxa" w:w="44"/>
              <w:right w:type="dxa" w:w="72"/>
            </w:tcMar>
          </w:tcPr>
          <w:p>
            <w:r>
              <w:rPr>
                <w:b w:val="false"/>
                <w:bCs w:val="false"/>
                <w:sz w:val="15"/>
                <w:szCs w:val="15"/>
              </w:rPr>
              <w:t xml:space="preserve">YES</w:t>
            </w:r>
          </w:p>
        </w:tc>
        <w:tc>
          <w:tcPr>
            <w:tcW w:type="pct" w:w="30%"/>
            <w:tcMar>
              <w:top w:type="dxa" w:w="44"/>
              <w:left w:type="dxa" w:w="72"/>
              <w:bottom w:type="dxa" w:w="44"/>
              <w:right w:type="dxa" w:w="72"/>
            </w:tcMar>
          </w:tcPr>
          <w:p>
            <w:r>
              <w:rPr>
                <w:b w:val="false"/>
                <w:bCs w:val="false"/>
                <w:sz w:val="15"/>
                <w:szCs w:val="15"/>
              </w:rPr>
              <w:t xml:space="preserve">Per-line Date</w:t>
            </w:r>
          </w:p>
        </w:tc>
        <w:tc>
          <w:tcPr>
            <w:tcW w:type="pct" w:w="30%"/>
            <w:tcMar>
              <w:top w:type="dxa" w:w="44"/>
              <w:left w:type="dxa" w:w="72"/>
              <w:bottom w:type="dxa" w:w="44"/>
              <w:right w:type="dxa" w:w="72"/>
            </w:tcMar>
          </w:tcPr>
          <w:p>
            <w:r>
              <w:rPr>
                <w:b w:val="false"/>
                <w:bCs w:val="false"/>
                <w:sz w:val="15"/>
                <w:szCs w:val="15"/>
              </w:rPr>
              <w:t xml:space="preserve">Monthly and day level</w:t>
            </w:r>
          </w:p>
        </w:tc>
      </w:tr>
    </w:tbl>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THE DATA TAB IS THE ONE THAT MATTERS MOST AND IT HAS NO MONTHLY BREAKDOWN. It drives targets (BM, H, G), order booking (I, J) and sale (AY) - all cumulative to date. A page reading it CANNOT produce an April figure. It must say so rather than showing year-to-date under a monthly heading, which is precisely the current bug.</w:t>
      </w:r>
    </w:p>
    <w:p>
      <w:pPr>
        <w:pStyle w:val="Heading1"/>
        <w:spacing w:after="100" w:before="240"/>
      </w:pPr>
      <w:r>
        <w:rPr>
          <w:b/>
          <w:bCs/>
        </w:rPr>
        <w:t xml:space="preserve">What each selection should return - verified from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44"/>
              <w:left w:type="dxa" w:w="72"/>
              <w:bottom w:type="dxa" w:w="44"/>
              <w:right w:type="dxa" w:w="72"/>
            </w:tcMar>
          </w:tcPr>
          <w:p>
            <w:r>
              <w:rPr>
                <w:b/>
                <w:bCs/>
                <w:sz w:val="15"/>
                <w:szCs w:val="15"/>
              </w:rPr>
              <w:t xml:space="preserve">Selection</w:t>
            </w:r>
          </w:p>
        </w:tc>
        <w:tc>
          <w:tcPr>
            <w:tcW w:type="pct" w:w="20%"/>
            <w:tcMar>
              <w:top w:type="dxa" w:w="44"/>
              <w:left w:type="dxa" w:w="72"/>
              <w:bottom w:type="dxa" w:w="44"/>
              <w:right w:type="dxa" w:w="72"/>
            </w:tcMar>
          </w:tcPr>
          <w:p>
            <w:r>
              <w:rPr>
                <w:b/>
                <w:bCs/>
                <w:sz w:val="15"/>
                <w:szCs w:val="15"/>
              </w:rPr>
              <w:t xml:space="preserve">Target / Plan</w:t>
            </w:r>
          </w:p>
        </w:tc>
        <w:tc>
          <w:tcPr>
            <w:tcW w:type="pct" w:w="20%"/>
            <w:tcMar>
              <w:top w:type="dxa" w:w="44"/>
              <w:left w:type="dxa" w:w="72"/>
              <w:bottom w:type="dxa" w:w="44"/>
              <w:right w:type="dxa" w:w="72"/>
            </w:tcMar>
          </w:tcPr>
          <w:p>
            <w:r>
              <w:rPr>
                <w:b/>
                <w:bCs/>
                <w:sz w:val="15"/>
                <w:szCs w:val="15"/>
              </w:rPr>
              <w:t xml:space="preserve">Order Booked</w:t>
            </w:r>
          </w:p>
        </w:tc>
        <w:tc>
          <w:tcPr>
            <w:tcW w:type="pct" w:w="20%"/>
            <w:tcMar>
              <w:top w:type="dxa" w:w="44"/>
              <w:left w:type="dxa" w:w="72"/>
              <w:bottom w:type="dxa" w:w="44"/>
              <w:right w:type="dxa" w:w="72"/>
            </w:tcMar>
          </w:tcPr>
          <w:p>
            <w:r>
              <w:rPr>
                <w:b/>
                <w:bCs/>
                <w:sz w:val="15"/>
                <w:szCs w:val="15"/>
              </w:rPr>
              <w:t xml:space="preserve">Sales Received</w:t>
            </w:r>
          </w:p>
        </w:tc>
        <w:tc>
          <w:tcPr>
            <w:tcW w:type="pct" w:w="18%"/>
            <w:tcMar>
              <w:top w:type="dxa" w:w="44"/>
              <w:left w:type="dxa" w:w="72"/>
              <w:bottom w:type="dxa" w:w="44"/>
              <w:right w:type="dxa" w:w="72"/>
            </w:tcMar>
          </w:tcPr>
          <w:p>
            <w:r>
              <w:rPr>
                <w:b/>
                <w:bCs/>
                <w:sz w:val="15"/>
                <w:szCs w:val="15"/>
              </w:rPr>
              <w:t xml:space="preserve">Achievement</w:t>
            </w:r>
          </w:p>
        </w:tc>
      </w:tr>
      <w:tr>
        <w:trPr>
          <w:tblHeader w:val="false"/>
        </w:trPr>
        <w:tc>
          <w:tcPr>
            <w:tcW w:type="pct" w:w="22%"/>
            <w:tcMar>
              <w:top w:type="dxa" w:w="44"/>
              <w:left w:type="dxa" w:w="72"/>
              <w:bottom w:type="dxa" w:w="44"/>
              <w:right w:type="dxa" w:w="72"/>
            </w:tcMar>
          </w:tcPr>
          <w:p>
            <w:r>
              <w:rPr>
                <w:b w:val="false"/>
                <w:bCs w:val="false"/>
                <w:sz w:val="15"/>
                <w:szCs w:val="15"/>
              </w:rPr>
              <w:t xml:space="preserve">Apr</w:t>
            </w:r>
          </w:p>
        </w:tc>
        <w:tc>
          <w:tcPr>
            <w:tcW w:type="pct" w:w="20%"/>
            <w:tcMar>
              <w:top w:type="dxa" w:w="44"/>
              <w:left w:type="dxa" w:w="72"/>
              <w:bottom w:type="dxa" w:w="44"/>
              <w:right w:type="dxa" w:w="72"/>
            </w:tcMar>
          </w:tcPr>
          <w:p>
            <w:r>
              <w:rPr>
                <w:b w:val="false"/>
                <w:bCs w:val="false"/>
                <w:sz w:val="15"/>
                <w:szCs w:val="15"/>
              </w:rPr>
              <w:t xml:space="preserve">Rs 24.94 Cr</w:t>
            </w:r>
          </w:p>
        </w:tc>
        <w:tc>
          <w:tcPr>
            <w:tcW w:type="pct" w:w="20%"/>
            <w:tcMar>
              <w:top w:type="dxa" w:w="44"/>
              <w:left w:type="dxa" w:w="72"/>
              <w:bottom w:type="dxa" w:w="44"/>
              <w:right w:type="dxa" w:w="72"/>
            </w:tcMar>
          </w:tcPr>
          <w:p>
            <w:r>
              <w:rPr>
                <w:b w:val="false"/>
                <w:bCs w:val="false"/>
                <w:sz w:val="15"/>
                <w:szCs w:val="15"/>
              </w:rPr>
              <w:t xml:space="preserve">Rs 12.66 Cr</w:t>
            </w:r>
          </w:p>
        </w:tc>
        <w:tc>
          <w:tcPr>
            <w:tcW w:type="pct" w:w="20%"/>
            <w:tcMar>
              <w:top w:type="dxa" w:w="44"/>
              <w:left w:type="dxa" w:w="72"/>
              <w:bottom w:type="dxa" w:w="44"/>
              <w:right w:type="dxa" w:w="72"/>
            </w:tcMar>
          </w:tcPr>
          <w:p>
            <w:r>
              <w:rPr>
                <w:b w:val="false"/>
                <w:bCs w:val="false"/>
                <w:sz w:val="15"/>
                <w:szCs w:val="15"/>
              </w:rPr>
              <w:t xml:space="preserve">Rs 13.94 Cr</w:t>
            </w:r>
          </w:p>
        </w:tc>
        <w:tc>
          <w:tcPr>
            <w:tcW w:type="pct" w:w="18%"/>
            <w:tcMar>
              <w:top w:type="dxa" w:w="44"/>
              <w:left w:type="dxa" w:w="72"/>
              <w:bottom w:type="dxa" w:w="44"/>
              <w:right w:type="dxa" w:w="72"/>
            </w:tcMar>
          </w:tcPr>
          <w:p>
            <w:r>
              <w:rPr>
                <w:b w:val="false"/>
                <w:bCs w:val="false"/>
                <w:sz w:val="15"/>
                <w:szCs w:val="15"/>
              </w:rPr>
              <w:t xml:space="preserve">50.8%</w:t>
            </w:r>
          </w:p>
        </w:tc>
      </w:tr>
      <w:tr>
        <w:trPr>
          <w:tblHeader w:val="false"/>
        </w:trPr>
        <w:tc>
          <w:tcPr>
            <w:tcW w:type="pct" w:w="22%"/>
            <w:tcMar>
              <w:top w:type="dxa" w:w="44"/>
              <w:left w:type="dxa" w:w="72"/>
              <w:bottom w:type="dxa" w:w="44"/>
              <w:right w:type="dxa" w:w="72"/>
            </w:tcMar>
          </w:tcPr>
          <w:p>
            <w:r>
              <w:rPr>
                <w:b w:val="false"/>
                <w:bCs w:val="false"/>
                <w:sz w:val="15"/>
                <w:szCs w:val="15"/>
              </w:rPr>
              <w:t xml:space="preserve">May</w:t>
            </w:r>
          </w:p>
        </w:tc>
        <w:tc>
          <w:tcPr>
            <w:tcW w:type="pct" w:w="20%"/>
            <w:tcMar>
              <w:top w:type="dxa" w:w="44"/>
              <w:left w:type="dxa" w:w="72"/>
              <w:bottom w:type="dxa" w:w="44"/>
              <w:right w:type="dxa" w:w="72"/>
            </w:tcMar>
          </w:tcPr>
          <w:p>
            <w:r>
              <w:rPr>
                <w:b w:val="false"/>
                <w:bCs w:val="false"/>
                <w:sz w:val="15"/>
                <w:szCs w:val="15"/>
              </w:rPr>
              <w:t xml:space="preserve">Rs 28.08 Cr</w:t>
            </w:r>
          </w:p>
        </w:tc>
        <w:tc>
          <w:tcPr>
            <w:tcW w:type="pct" w:w="20%"/>
            <w:tcMar>
              <w:top w:type="dxa" w:w="44"/>
              <w:left w:type="dxa" w:w="72"/>
              <w:bottom w:type="dxa" w:w="44"/>
              <w:right w:type="dxa" w:w="72"/>
            </w:tcMar>
          </w:tcPr>
          <w:p>
            <w:r>
              <w:rPr>
                <w:b w:val="false"/>
                <w:bCs w:val="false"/>
                <w:sz w:val="15"/>
                <w:szCs w:val="15"/>
              </w:rPr>
              <w:t xml:space="preserve">Rs 20.43 Cr</w:t>
            </w:r>
          </w:p>
        </w:tc>
        <w:tc>
          <w:tcPr>
            <w:tcW w:type="pct" w:w="20%"/>
            <w:tcMar>
              <w:top w:type="dxa" w:w="44"/>
              <w:left w:type="dxa" w:w="72"/>
              <w:bottom w:type="dxa" w:w="44"/>
              <w:right w:type="dxa" w:w="72"/>
            </w:tcMar>
          </w:tcPr>
          <w:p>
            <w:r>
              <w:rPr>
                <w:b w:val="false"/>
                <w:bCs w:val="false"/>
                <w:sz w:val="15"/>
                <w:szCs w:val="15"/>
              </w:rPr>
              <w:t xml:space="preserve">Rs 20.15 Cr</w:t>
            </w:r>
          </w:p>
        </w:tc>
        <w:tc>
          <w:tcPr>
            <w:tcW w:type="pct" w:w="18%"/>
            <w:tcMar>
              <w:top w:type="dxa" w:w="44"/>
              <w:left w:type="dxa" w:w="72"/>
              <w:bottom w:type="dxa" w:w="44"/>
              <w:right w:type="dxa" w:w="72"/>
            </w:tcMar>
          </w:tcPr>
          <w:p>
            <w:r>
              <w:rPr>
                <w:b w:val="false"/>
                <w:bCs w:val="false"/>
                <w:sz w:val="15"/>
                <w:szCs w:val="15"/>
              </w:rPr>
              <w:t xml:space="preserve">72.8%</w:t>
            </w:r>
          </w:p>
        </w:tc>
      </w:tr>
      <w:tr>
        <w:trPr>
          <w:tblHeader w:val="false"/>
        </w:trPr>
        <w:tc>
          <w:tcPr>
            <w:tcW w:type="pct" w:w="22%"/>
            <w:tcMar>
              <w:top w:type="dxa" w:w="44"/>
              <w:left w:type="dxa" w:w="72"/>
              <w:bottom w:type="dxa" w:w="44"/>
              <w:right w:type="dxa" w:w="72"/>
            </w:tcMar>
          </w:tcPr>
          <w:p>
            <w:r>
              <w:rPr>
                <w:b w:val="false"/>
                <w:bCs w:val="false"/>
                <w:sz w:val="15"/>
                <w:szCs w:val="15"/>
              </w:rPr>
              <w:t xml:space="preserve">Jun</w:t>
            </w:r>
          </w:p>
        </w:tc>
        <w:tc>
          <w:tcPr>
            <w:tcW w:type="pct" w:w="20%"/>
            <w:tcMar>
              <w:top w:type="dxa" w:w="44"/>
              <w:left w:type="dxa" w:w="72"/>
              <w:bottom w:type="dxa" w:w="44"/>
              <w:right w:type="dxa" w:w="72"/>
            </w:tcMar>
          </w:tcPr>
          <w:p>
            <w:r>
              <w:rPr>
                <w:b w:val="false"/>
                <w:bCs w:val="false"/>
                <w:sz w:val="15"/>
                <w:szCs w:val="15"/>
              </w:rPr>
              <w:t xml:space="preserve">Rs 28.32 Cr</w:t>
            </w:r>
          </w:p>
        </w:tc>
        <w:tc>
          <w:tcPr>
            <w:tcW w:type="pct" w:w="20%"/>
            <w:tcMar>
              <w:top w:type="dxa" w:w="44"/>
              <w:left w:type="dxa" w:w="72"/>
              <w:bottom w:type="dxa" w:w="44"/>
              <w:right w:type="dxa" w:w="72"/>
            </w:tcMar>
          </w:tcPr>
          <w:p>
            <w:r>
              <w:rPr>
                <w:b w:val="false"/>
                <w:bCs w:val="false"/>
                <w:sz w:val="15"/>
                <w:szCs w:val="15"/>
              </w:rPr>
              <w:t xml:space="preserve">Rs 24.27 Cr</w:t>
            </w:r>
          </w:p>
        </w:tc>
        <w:tc>
          <w:tcPr>
            <w:tcW w:type="pct" w:w="20%"/>
            <w:tcMar>
              <w:top w:type="dxa" w:w="44"/>
              <w:left w:type="dxa" w:w="72"/>
              <w:bottom w:type="dxa" w:w="44"/>
              <w:right w:type="dxa" w:w="72"/>
            </w:tcMar>
          </w:tcPr>
          <w:p>
            <w:r>
              <w:rPr>
                <w:b w:val="false"/>
                <w:bCs w:val="false"/>
                <w:sz w:val="15"/>
                <w:szCs w:val="15"/>
              </w:rPr>
              <w:t xml:space="preserve">Rs 27.41 Cr</w:t>
            </w:r>
          </w:p>
        </w:tc>
        <w:tc>
          <w:tcPr>
            <w:tcW w:type="pct" w:w="18%"/>
            <w:tcMar>
              <w:top w:type="dxa" w:w="44"/>
              <w:left w:type="dxa" w:w="72"/>
              <w:bottom w:type="dxa" w:w="44"/>
              <w:right w:type="dxa" w:w="72"/>
            </w:tcMar>
          </w:tcPr>
          <w:p>
            <w:r>
              <w:rPr>
                <w:b w:val="false"/>
                <w:bCs w:val="false"/>
                <w:sz w:val="15"/>
                <w:szCs w:val="15"/>
              </w:rPr>
              <w:t xml:space="preserve">85.7%</w:t>
            </w:r>
          </w:p>
        </w:tc>
      </w:tr>
      <w:tr>
        <w:trPr>
          <w:tblHeader w:val="false"/>
        </w:trPr>
        <w:tc>
          <w:tcPr>
            <w:tcW w:type="pct" w:w="22%"/>
            <w:tcMar>
              <w:top w:type="dxa" w:w="44"/>
              <w:left w:type="dxa" w:w="72"/>
              <w:bottom w:type="dxa" w:w="44"/>
              <w:right w:type="dxa" w:w="72"/>
            </w:tcMar>
          </w:tcPr>
          <w:p>
            <w:r>
              <w:rPr>
                <w:b w:val="false"/>
                <w:bCs w:val="false"/>
                <w:sz w:val="15"/>
                <w:szCs w:val="15"/>
              </w:rPr>
              <w:t xml:space="preserve">Jul</w:t>
            </w:r>
          </w:p>
        </w:tc>
        <w:tc>
          <w:tcPr>
            <w:tcW w:type="pct" w:w="20%"/>
            <w:tcMar>
              <w:top w:type="dxa" w:w="44"/>
              <w:left w:type="dxa" w:w="72"/>
              <w:bottom w:type="dxa" w:w="44"/>
              <w:right w:type="dxa" w:w="72"/>
            </w:tcMar>
          </w:tcPr>
          <w:p>
            <w:r>
              <w:rPr>
                <w:b w:val="false"/>
                <w:bCs w:val="false"/>
                <w:sz w:val="15"/>
                <w:szCs w:val="15"/>
              </w:rPr>
              <w:t xml:space="preserve">Rs 25.61 Cr</w:t>
            </w:r>
          </w:p>
        </w:tc>
        <w:tc>
          <w:tcPr>
            <w:tcW w:type="pct" w:w="20%"/>
            <w:tcMar>
              <w:top w:type="dxa" w:w="44"/>
              <w:left w:type="dxa" w:w="72"/>
              <w:bottom w:type="dxa" w:w="44"/>
              <w:right w:type="dxa" w:w="72"/>
            </w:tcMar>
          </w:tcPr>
          <w:p>
            <w:r>
              <w:rPr>
                <w:b w:val="false"/>
                <w:bCs w:val="false"/>
                <w:sz w:val="15"/>
                <w:szCs w:val="15"/>
              </w:rPr>
              <w:t xml:space="preserve">Rs 0.00 Cr</w:t>
            </w:r>
          </w:p>
        </w:tc>
        <w:tc>
          <w:tcPr>
            <w:tcW w:type="pct" w:w="20%"/>
            <w:tcMar>
              <w:top w:type="dxa" w:w="44"/>
              <w:left w:type="dxa" w:w="72"/>
              <w:bottom w:type="dxa" w:w="44"/>
              <w:right w:type="dxa" w:w="72"/>
            </w:tcMar>
          </w:tcPr>
          <w:p>
            <w:r>
              <w:rPr>
                <w:b w:val="false"/>
                <w:bCs w:val="false"/>
                <w:sz w:val="15"/>
                <w:szCs w:val="15"/>
              </w:rPr>
              <w:t xml:space="preserve">Rs 0.34 Cr</w:t>
            </w:r>
          </w:p>
        </w:tc>
        <w:tc>
          <w:tcPr>
            <w:tcW w:type="pct" w:w="18%"/>
            <w:tcMar>
              <w:top w:type="dxa" w:w="44"/>
              <w:left w:type="dxa" w:w="72"/>
              <w:bottom w:type="dxa" w:w="44"/>
              <w:right w:type="dxa" w:w="72"/>
            </w:tcMar>
          </w:tcPr>
          <w:p>
            <w:r>
              <w:rPr>
                <w:b w:val="false"/>
                <w:bCs w:val="false"/>
                <w:sz w:val="15"/>
                <w:szCs w:val="15"/>
              </w:rPr>
              <w:t xml:space="preserve">no actuals yet</w:t>
            </w:r>
          </w:p>
        </w:tc>
      </w:tr>
      <w:tr>
        <w:trPr>
          <w:tblHeader w:val="false"/>
        </w:trPr>
        <w:tc>
          <w:tcPr>
            <w:tcW w:type="pct" w:w="22%"/>
            <w:tcMar>
              <w:top w:type="dxa" w:w="44"/>
              <w:left w:type="dxa" w:w="72"/>
              <w:bottom w:type="dxa" w:w="44"/>
              <w:right w:type="dxa" w:w="72"/>
            </w:tcMar>
          </w:tcPr>
          <w:p>
            <w:r>
              <w:rPr>
                <w:b w:val="false"/>
                <w:bCs w:val="false"/>
                <w:sz w:val="15"/>
                <w:szCs w:val="15"/>
              </w:rPr>
              <w:t xml:space="preserve">Q1 / YTD</w:t>
            </w:r>
          </w:p>
        </w:tc>
        <w:tc>
          <w:tcPr>
            <w:tcW w:type="pct" w:w="20%"/>
            <w:tcMar>
              <w:top w:type="dxa" w:w="44"/>
              <w:left w:type="dxa" w:w="72"/>
              <w:bottom w:type="dxa" w:w="44"/>
              <w:right w:type="dxa" w:w="72"/>
            </w:tcMar>
          </w:tcPr>
          <w:p>
            <w:r>
              <w:rPr>
                <w:b w:val="false"/>
                <w:bCs w:val="false"/>
                <w:sz w:val="15"/>
                <w:szCs w:val="15"/>
              </w:rPr>
              <w:t xml:space="preserve">Rs 81.34 Cr</w:t>
            </w:r>
          </w:p>
        </w:tc>
        <w:tc>
          <w:tcPr>
            <w:tcW w:type="pct" w:w="20%"/>
            <w:tcMar>
              <w:top w:type="dxa" w:w="44"/>
              <w:left w:type="dxa" w:w="72"/>
              <w:bottom w:type="dxa" w:w="44"/>
              <w:right w:type="dxa" w:w="72"/>
            </w:tcMar>
          </w:tcPr>
          <w:p>
            <w:r>
              <w:rPr>
                <w:b w:val="false"/>
                <w:bCs w:val="false"/>
                <w:sz w:val="15"/>
                <w:szCs w:val="15"/>
              </w:rPr>
              <w:t xml:space="preserve">Rs 57.37 Cr</w:t>
            </w:r>
          </w:p>
        </w:tc>
        <w:tc>
          <w:tcPr>
            <w:tcW w:type="pct" w:w="20%"/>
            <w:tcMar>
              <w:top w:type="dxa" w:w="44"/>
              <w:left w:type="dxa" w:w="72"/>
              <w:bottom w:type="dxa" w:w="44"/>
              <w:right w:type="dxa" w:w="72"/>
            </w:tcMar>
          </w:tcPr>
          <w:p>
            <w:r>
              <w:rPr>
                <w:b w:val="false"/>
                <w:bCs w:val="false"/>
                <w:sz w:val="15"/>
                <w:szCs w:val="15"/>
              </w:rPr>
              <w:t xml:space="preserve">Rs 61.51 Cr</w:t>
            </w:r>
          </w:p>
        </w:tc>
        <w:tc>
          <w:tcPr>
            <w:tcW w:type="pct" w:w="18%"/>
            <w:tcMar>
              <w:top w:type="dxa" w:w="44"/>
              <w:left w:type="dxa" w:w="72"/>
              <w:bottom w:type="dxa" w:w="44"/>
              <w:right w:type="dxa" w:w="72"/>
            </w:tcMar>
          </w:tcPr>
          <w:p>
            <w:r>
              <w:rPr>
                <w:b w:val="false"/>
                <w:bCs w:val="false"/>
                <w:sz w:val="15"/>
                <w:szCs w:val="15"/>
              </w:rPr>
              <w:t xml:space="preserve">70.5%</w:t>
            </w:r>
          </w:p>
        </w:tc>
      </w:tr>
    </w:tbl>
    <w:p>
      <w:pPr>
        <w:pBdr>
          <w:top w:val="single" w:color="BBCCDD" w:sz="6" w:space="6"/>
          <w:bottom w:val="single" w:color="BBCCDD" w:sz="6" w:space="6"/>
          <w:left w:val="single" w:color="BBCCDD" w:sz="6" w:space="6"/>
          <w:right w:val="single" w:color="BBCCDD" w:sz="6" w:space="6"/>
        </w:pBdr>
        <w:shd w:fill="EEF3F7" w:color="auto" w:val="clear"/>
        <w:spacing w:after="120"/>
      </w:pPr>
      <w:r>
        <w:t xml:space="preserve">The trajectory the broken selector is hiding: achievement climbs 50.8 per cent in April, 72.8 in May, 85.7 in June. That is the most useful thing on the page.</w:t>
      </w:r>
    </w:p>
    <w:p>
      <w:pPr>
        <w:pStyle w:val="Heading1"/>
        <w:spacing w:after="100" w:before="240"/>
      </w:pPr>
      <w:r>
        <w:rPr>
          <w:b/>
          <w:bCs/>
        </w:rPr>
        <w:t xml:space="preserve">Prompt PS1 - one period resolver, consumed by every page</w:t>
      </w:r>
    </w:p>
    <w:p>
      <w:pPr>
        <w:spacing w:after="20" w:before="100"/>
      </w:pPr>
      <w:r>
        <w:rPr>
          <w:b/>
          <w:bCs/>
          <w:i/>
          <w:iCs/>
          <w:color w:val="444444"/>
        </w:rPr>
        <w:t xml:space="preserve">PROMPT - PS1 (HELD)</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the period selector is cosmetic. Selecting Apr, May, Jun or Jul on the</w:t>
      </w:r>
      <w:r>
        <w:rPr>
          <w:rFonts w:ascii="Courier New" w:cs="Courier New" w:eastAsia="Courier New" w:hAnsi="Courier New"/>
          <w:sz w:val="15"/>
          <w:szCs w:val="15"/>
        </w:rPr>
        <w:br/>
        <w:t xml:space="preserve">State Head page changes only the card labels while every figure stays identical. The</w:t>
      </w:r>
      <w:r>
        <w:rPr>
          <w:rFonts w:ascii="Courier New" w:cs="Courier New" w:eastAsia="Courier New" w:hAnsi="Courier New"/>
          <w:sz w:val="15"/>
          <w:szCs w:val="15"/>
        </w:rPr>
        <w:br/>
        <w:t xml:space="preserve">date filter is GLOBAL, so this must be fixed once as a shared service and consumed by</w:t>
      </w:r>
      <w:r>
        <w:rPr>
          <w:rFonts w:ascii="Courier New" w:cs="Courier New" w:eastAsia="Courier New" w:hAnsi="Courier New"/>
          <w:sz w:val="15"/>
          <w:szCs w:val="15"/>
        </w:rPr>
        <w:br/>
        <w:t xml:space="preserve">every page - not patched page by page. Same global rules as every earlier phase.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DIAGNOSIS. The page computes one year-to-date figure and relabels the card. The</w:t>
      </w:r>
      <w:r>
        <w:rPr>
          <w:rFonts w:ascii="Courier New" w:cs="Courier New" w:eastAsia="Courier New" w:hAnsi="Courier New"/>
          <w:sz w:val="15"/>
          <w:szCs w:val="15"/>
        </w:rPr>
        <w:br/>
        <w:t xml:space="preserve">Apr-to-Jun plan computed from source is Rs 81.34 Cr, which is the Rs 81.41 Cr shown</w:t>
      </w:r>
      <w:r>
        <w:rPr>
          <w:rFonts w:ascii="Courier New" w:cs="Courier New" w:eastAsia="Courier New" w:hAnsi="Courier New"/>
          <w:sz w:val="15"/>
          <w:szCs w:val="15"/>
        </w:rPr>
        <w:br/>
        <w:t xml:space="preserve">for every month. Selecting April shows three months of data under an April heading.</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BUILD ONE PERIOD RESOLVER, used everywhere. It takes the global selection</w:t>
      </w:r>
      <w:r>
        <w:rPr>
          <w:rFonts w:ascii="Courier New" w:cs="Courier New" w:eastAsia="Courier New" w:hAnsi="Courier New"/>
          <w:sz w:val="15"/>
          <w:szCs w:val="15"/>
        </w:rPr>
        <w:br/>
        <w:t xml:space="preserve">   (fiscal year, and one of: a month, a quarter, YTD, Full Year, or a custom range)</w:t>
      </w:r>
      <w:r>
        <w:rPr>
          <w:rFonts w:ascii="Courier New" w:cs="Courier New" w:eastAsia="Courier New" w:hAnsi="Courier New"/>
          <w:sz w:val="15"/>
          <w:szCs w:val="15"/>
        </w:rPr>
        <w:br/>
        <w:t xml:space="preserve">   and returns the set of fiscal months in scope plus the data cutoff. Every page,</w:t>
      </w:r>
      <w:r>
        <w:rPr>
          <w:rFonts w:ascii="Courier New" w:cs="Courier New" w:eastAsia="Courier New" w:hAnsi="Courier New"/>
          <w:sz w:val="15"/>
          <w:szCs w:val="15"/>
        </w:rPr>
        <w:br/>
        <w:t xml:space="preserve">   card, table, chart, export and report consumes THIS - no page computes its own.</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EACH SOURCE DECLARES ITS GRANULARITY. Verified by inspection - do not assume:</w:t>
      </w:r>
      <w:r>
        <w:rPr>
          <w:rFonts w:ascii="Courier New" w:cs="Courier New" w:eastAsia="Courier New" w:hAnsi="Courier New"/>
          <w:sz w:val="15"/>
          <w:szCs w:val="15"/>
        </w:rPr>
        <w:br/>
        <w:t xml:space="preserve">     SECONDARY ORDER BOOKING REPORT tab  MONTHLY - 12 blocks of 7 columns</w:t>
      </w:r>
      <w:r>
        <w:rPr>
          <w:rFonts w:ascii="Courier New" w:cs="Courier New" w:eastAsia="Courier New" w:hAnsi="Courier New"/>
          <w:sz w:val="15"/>
          <w:szCs w:val="15"/>
        </w:rPr>
        <w:br/>
        <w:t xml:space="preserve">     Data tab                            CUMULATIVE TO DATE ONLY - no monthly cols</w:t>
      </w:r>
      <w:r>
        <w:rPr>
          <w:rFonts w:ascii="Courier New" w:cs="Courier New" w:eastAsia="Courier New" w:hAnsi="Courier New"/>
          <w:sz w:val="15"/>
          <w:szCs w:val="15"/>
        </w:rPr>
        <w:br/>
        <w:t xml:space="preserve">     Primary Team Members / Low Performers / Summary tabs   YTD only</w:t>
      </w:r>
      <w:r>
        <w:rPr>
          <w:rFonts w:ascii="Courier New" w:cs="Courier New" w:eastAsia="Courier New" w:hAnsi="Courier New"/>
          <w:sz w:val="15"/>
          <w:szCs w:val="15"/>
        </w:rPr>
        <w:br/>
        <w:t xml:space="preserve">     sale_line register                  MONTHLY via month_label</w:t>
      </w:r>
      <w:r>
        <w:rPr>
          <w:rFonts w:ascii="Courier New" w:cs="Courier New" w:eastAsia="Courier New" w:hAnsi="Courier New"/>
          <w:sz w:val="15"/>
          <w:szCs w:val="15"/>
        </w:rPr>
        <w:br/>
        <w:t xml:space="preserve">     Member working sheets               MONTHLY via the monthly grid tab</w:t>
      </w:r>
      <w:r>
        <w:rPr>
          <w:rFonts w:ascii="Courier New" w:cs="Courier New" w:eastAsia="Courier New" w:hAnsi="Courier New"/>
          <w:sz w:val="15"/>
          <w:szCs w:val="15"/>
        </w:rPr>
        <w:br/>
        <w:t xml:space="preserve">     Secondary registers (closed years)  MONTHLY and day level via per-line Date</w:t>
      </w:r>
      <w:r>
        <w:rPr>
          <w:rFonts w:ascii="Courier New" w:cs="Courier New" w:eastAsia="Courier New" w:hAnsi="Courier New"/>
          <w:sz w:val="15"/>
          <w:szCs w:val="15"/>
        </w:rPr>
        <w:br/>
        <w:t xml:space="preserve">   A source that cannot answer the selected period must return NOT AVAILABLE with the</w:t>
      </w:r>
      <w:r>
        <w:rPr>
          <w:rFonts w:ascii="Courier New" w:cs="Courier New" w:eastAsia="Courier New" w:hAnsi="Courier New"/>
          <w:sz w:val="15"/>
          <w:szCs w:val="15"/>
        </w:rPr>
        <w:br/>
        <w:t xml:space="preserve">   reason - never a year-to-date figure under a monthly label. This is the actual bug.</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READ THE MONTHLY COLUMNS where they exist:</w:t>
      </w:r>
      <w:r>
        <w:rPr>
          <w:rFonts w:ascii="Courier New" w:cs="Courier New" w:eastAsia="Courier New" w:hAnsi="Courier New"/>
          <w:sz w:val="15"/>
          <w:szCs w:val="15"/>
        </w:rPr>
        <w:br/>
        <w:t xml:space="preserve">     file 1E1jEY_yO8LmpqBDpcesS_fu2SBPEQ0eKO5xN29XyTEM</w:t>
      </w:r>
      <w:r>
        <w:rPr>
          <w:rFonts w:ascii="Courier New" w:cs="Courier New" w:eastAsia="Courier New" w:hAnsi="Courier New"/>
          <w:sz w:val="15"/>
          <w:szCs w:val="15"/>
        </w:rPr>
        <w:br/>
        <w:t xml:space="preserve">     tab  'SECONDARY ORDER BOOKING REPORT '  - the tab name has a TRAILING SPACE</w:t>
      </w:r>
      <w:r>
        <w:rPr>
          <w:rFonts w:ascii="Courier New" w:cs="Courier New" w:eastAsia="Courier New" w:hAnsi="Courier New"/>
          <w:sz w:val="15"/>
          <w:szCs w:val="15"/>
        </w:rPr>
        <w:br/>
        <w:t xml:space="preserve">     members start at row 7 (162 rows)</w:t>
      </w:r>
      <w:r>
        <w:rPr>
          <w:rFonts w:ascii="Courier New" w:cs="Courier New" w:eastAsia="Courier New" w:hAnsi="Courier New"/>
          <w:sz w:val="15"/>
          <w:szCs w:val="15"/>
        </w:rPr>
        <w:br/>
        <w:t xml:space="preserve">     month blocks are 7 columns wide, headed with a DATE in row 4:</w:t>
      </w:r>
      <w:r>
        <w:rPr>
          <w:rFonts w:ascii="Courier New" w:cs="Courier New" w:eastAsia="Courier New" w:hAnsi="Courier New"/>
          <w:sz w:val="15"/>
          <w:szCs w:val="15"/>
        </w:rPr>
        <w:br/>
        <w:t xml:space="preserve">       P Apr | W May | AD Jun | AK Jul | AR Aug | AY Sep | BF Oct | BM Nov |</w:t>
      </w:r>
      <w:r>
        <w:rPr>
          <w:rFonts w:ascii="Courier New" w:cs="Courier New" w:eastAsia="Courier New" w:hAnsi="Courier New"/>
          <w:sz w:val="15"/>
          <w:szCs w:val="15"/>
        </w:rPr>
        <w:br/>
        <w:t xml:space="preserve">       BT Dec | CA Jan   (Feb and Mar continue the pattern)</w:t>
      </w:r>
      <w:r>
        <w:rPr>
          <w:rFonts w:ascii="Courier New" w:cs="Courier New" w:eastAsia="Courier New" w:hAnsi="Courier New"/>
          <w:sz w:val="15"/>
          <w:szCs w:val="15"/>
        </w:rPr>
        <w:br/>
        <w:t xml:space="preserve">     offsets within a block: +0 Plan Amt, +1 Plan Count, +2 Order Booked Amt,</w:t>
      </w:r>
      <w:r>
        <w:rPr>
          <w:rFonts w:ascii="Courier New" w:cs="Courier New" w:eastAsia="Courier New" w:hAnsi="Courier New"/>
          <w:sz w:val="15"/>
          <w:szCs w:val="15"/>
        </w:rPr>
        <w:br/>
        <w:t xml:space="preserve">       +3 OB Count, +4 % Achievement, +5 Sales Received Amt, +6 Sales Count</w:t>
      </w:r>
      <w:r>
        <w:rPr>
          <w:rFonts w:ascii="Courier New" w:cs="Courier New" w:eastAsia="Courier New" w:hAnsi="Courier New"/>
          <w:sz w:val="15"/>
          <w:szCs w:val="15"/>
        </w:rPr>
        <w:br/>
        <w:t xml:space="preserve">   LOCATE BLOCKS BY THE DATE HEADER IN ROW 4, never by hardcoded letters - the</w:t>
      </w:r>
      <w:r>
        <w:rPr>
          <w:rFonts w:ascii="Courier New" w:cs="Courier New" w:eastAsia="Courier New" w:hAnsi="Courier New"/>
          <w:sz w:val="15"/>
          <w:szCs w:val="15"/>
        </w:rPr>
        <w:br/>
        <w:t xml:space="preserve">   columns will shift when a fiscal year is added and the failure would be silent.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TARGET IS THE SUM OF THE SELECTED MONTHS' PLAN COLUMNS. Do NOT pro-rate an annual</w:t>
      </w:r>
      <w:r>
        <w:rPr>
          <w:rFonts w:ascii="Courier New" w:cs="Courier New" w:eastAsia="Courier New" w:hAnsi="Courier New"/>
          <w:sz w:val="15"/>
          <w:szCs w:val="15"/>
        </w:rPr>
        <w:br/>
        <w:t xml:space="preserve">   figure - the monthly plans genuinely differ (Rs 24.94 Cr in April against</w:t>
      </w:r>
      <w:r>
        <w:rPr>
          <w:rFonts w:ascii="Courier New" w:cs="Courier New" w:eastAsia="Courier New" w:hAnsi="Courier New"/>
          <w:sz w:val="15"/>
          <w:szCs w:val="15"/>
        </w:rPr>
        <w:br/>
        <w:t xml:space="preserve">   Rs 28.32 Cr in June), so dividing an annual number by twelve is wrong for every</w:t>
      </w:r>
      <w:r>
        <w:rPr>
          <w:rFonts w:ascii="Courier New" w:cs="Courier New" w:eastAsia="Courier New" w:hAnsi="Courier New"/>
          <w:sz w:val="15"/>
          <w:szCs w:val="15"/>
        </w:rPr>
        <w:br/>
        <w:t xml:space="preserve">   month.</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USE COLUMN BD FOR PER-MEMBER ELAPSED MONTHS. It is headed 'Jun' but holds a</w:t>
      </w:r>
      <w:r>
        <w:rPr>
          <w:rFonts w:ascii="Courier New" w:cs="Courier New" w:eastAsia="Courier New" w:hAnsi="Courier New"/>
          <w:sz w:val="15"/>
          <w:szCs w:val="15"/>
        </w:rPr>
        <w:br/>
        <w:t xml:space="preserve">   NUMBER: 3.00 for most members, fractional for partial tenure - Jagdev 2.43, Shiv</w:t>
      </w:r>
      <w:r>
        <w:rPr>
          <w:rFonts w:ascii="Courier New" w:cs="Courier New" w:eastAsia="Courier New" w:hAnsi="Courier New"/>
          <w:sz w:val="15"/>
          <w:szCs w:val="15"/>
        </w:rPr>
        <w:br/>
        <w:t xml:space="preserve">   Kumar 1.17, Ravi Upadhyay 1.01, Rahul Singh 0.47. This is the pro-rata factor the</w:t>
      </w:r>
      <w:r>
        <w:rPr>
          <w:rFonts w:ascii="Courier New" w:cs="Courier New" w:eastAsia="Courier New" w:hAnsi="Courier New"/>
          <w:sz w:val="15"/>
          <w:szCs w:val="15"/>
        </w:rPr>
        <w:br/>
        <w:t xml:space="preserve">   targets are already built on. READ IT rather than deriving your own, which would</w:t>
      </w:r>
      <w:r>
        <w:rPr>
          <w:rFonts w:ascii="Courier New" w:cs="Courier New" w:eastAsia="Courier New" w:hAnsi="Courier New"/>
          <w:sz w:val="15"/>
          <w:szCs w:val="15"/>
        </w:rPr>
        <w:br/>
        <w:t xml:space="preserve">   drift from the sheet the targets came from.</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USE COLUMN BA 'Active/ Left' FOR MEMBER STATUS. It already exists and is</w:t>
      </w:r>
      <w:r>
        <w:rPr>
          <w:rFonts w:ascii="Courier New" w:cs="Courier New" w:eastAsia="Courier New" w:hAnsi="Courier New"/>
          <w:sz w:val="15"/>
          <w:szCs w:val="15"/>
        </w:rPr>
        <w:br/>
        <w:t xml:space="preserve">   maintained: 171 Active, 12 LEFT. Under Anant Singh, JAGDEV, Shiv Kumar and Ravi</w:t>
      </w:r>
      <w:r>
        <w:rPr>
          <w:rFonts w:ascii="Courier New" w:cs="Courier New" w:eastAsia="Courier New" w:hAnsi="Courier New"/>
          <w:sz w:val="15"/>
          <w:szCs w:val="15"/>
        </w:rPr>
        <w:br/>
        <w:t xml:space="preserve">   Upadhyay are all marked LEFT.</w:t>
      </w:r>
      <w:r>
        <w:rPr>
          <w:rFonts w:ascii="Courier New" w:cs="Courier New" w:eastAsia="Courier New" w:hAnsi="Courier New"/>
          <w:sz w:val="15"/>
          <w:szCs w:val="15"/>
        </w:rPr>
        <w:br/>
        <w:t xml:space="preserve">     - exclude LEFT members from current-period PERFORMANCE views and from low</w:t>
      </w:r>
      <w:r>
        <w:rPr>
          <w:rFonts w:ascii="Courier New" w:cs="Courier New" w:eastAsia="Courier New" w:hAnsi="Courier New"/>
          <w:sz w:val="15"/>
          <w:szCs w:val="15"/>
        </w:rPr>
        <w:br/>
        <w:t xml:space="preserve">       performer counts</w:t>
      </w:r>
      <w:r>
        <w:rPr>
          <w:rFonts w:ascii="Courier New" w:cs="Courier New" w:eastAsia="Courier New" w:hAnsi="Courier New"/>
          <w:sz w:val="15"/>
          <w:szCs w:val="15"/>
        </w:rPr>
        <w:br/>
        <w:t xml:space="preserve">     - KEEP their historical business - they carry Rs 0.37 Cr company-wide</w:t>
      </w:r>
      <w:r>
        <w:rPr>
          <w:rFonts w:ascii="Courier New" w:cs="Courier New" w:eastAsia="Courier New" w:hAnsi="Courier New"/>
          <w:sz w:val="15"/>
          <w:szCs w:val="15"/>
        </w:rPr>
        <w:br/>
        <w:t xml:space="preserve">     - show an explicit 'left' badge wherever they appear</w:t>
      </w:r>
      <w:r>
        <w:rPr>
          <w:rFonts w:ascii="Courier New" w:cs="Courier New" w:eastAsia="Courier New" w:hAnsi="Courier New"/>
          <w:sz w:val="15"/>
          <w:szCs w:val="15"/>
        </w:rPr>
        <w:br/>
        <w:t xml:space="preserve">     - never build a forward visit plan for a member marked LEFT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7. EVERY FIGURE ON EVERY PAGE RECOMPUTES for the selection. Cards, member tables,</w:t>
      </w:r>
      <w:r>
        <w:rPr>
          <w:rFonts w:ascii="Courier New" w:cs="Courier New" w:eastAsia="Courier New" w:hAnsi="Courier New"/>
          <w:sz w:val="15"/>
          <w:szCs w:val="15"/>
        </w:rPr>
        <w:br/>
        <w:t xml:space="preserve">   Low Performers, Summary by Head, charts, Excel exports, the Warning System, the</w:t>
      </w:r>
      <w:r>
        <w:rPr>
          <w:rFonts w:ascii="Courier New" w:cs="Courier New" w:eastAsia="Courier New" w:hAnsi="Courier New"/>
          <w:sz w:val="15"/>
          <w:szCs w:val="15"/>
        </w:rPr>
        <w:br/>
        <w:t xml:space="preserve">   Sales and Distributor Deep Dives, and the AI Reports payload. Audit every page and</w:t>
      </w:r>
      <w:r>
        <w:rPr>
          <w:rFonts w:ascii="Courier New" w:cs="Courier New" w:eastAsia="Courier New" w:hAnsi="Courier New"/>
          <w:sz w:val="15"/>
          <w:szCs w:val="15"/>
        </w:rPr>
        <w:br/>
        <w:t xml:space="preserve">   report which ones were reading a fixed year-to-date figure.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8. ACHIEVEMENT IS RECOMPUTED for the period - order booked divided by plan, both for</w:t>
      </w:r>
      <w:r>
        <w:rPr>
          <w:rFonts w:ascii="Courier New" w:cs="Courier New" w:eastAsia="Courier New" w:hAnsi="Courier New"/>
          <w:sz w:val="15"/>
          <w:szCs w:val="15"/>
        </w:rPr>
        <w:br/>
        <w:t xml:space="preserve">   the same months. Never read the sheet's own % of Achievement cell and never carry</w:t>
      </w:r>
      <w:r>
        <w:rPr>
          <w:rFonts w:ascii="Courier New" w:cs="Courier New" w:eastAsia="Courier New" w:hAnsi="Courier New"/>
          <w:sz w:val="15"/>
          <w:szCs w:val="15"/>
        </w:rPr>
        <w:br/>
        <w:t xml:space="preserve">   a year-to-date percentage into a monthly view.</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9. HANDLE MONTHS WITH A PLAN AND NO ACTUALS. July has a plan of Rs 25.61 Cr and ZERO</w:t>
      </w:r>
      <w:r>
        <w:rPr>
          <w:rFonts w:ascii="Courier New" w:cs="Courier New" w:eastAsia="Courier New" w:hAnsi="Courier New"/>
          <w:sz w:val="15"/>
          <w:szCs w:val="15"/>
        </w:rPr>
        <w:br/>
        <w:t xml:space="preserve">   order booking because data ends 30 June. Show 'no actuals recorded yet' - NOT 0.0</w:t>
      </w:r>
      <w:r>
        <w:rPr>
          <w:rFonts w:ascii="Courier New" w:cs="Courier New" w:eastAsia="Courier New" w:hAnsi="Courier New"/>
          <w:sz w:val="15"/>
          <w:szCs w:val="15"/>
        </w:rPr>
        <w:br/>
        <w:t xml:space="preserve">   per cent, and suppress the low-performer count entirely. A real plan against no</w:t>
      </w:r>
      <w:r>
        <w:rPr>
          <w:rFonts w:ascii="Courier New" w:cs="Courier New" w:eastAsia="Courier New" w:hAnsi="Courier New"/>
          <w:sz w:val="15"/>
          <w:szCs w:val="15"/>
        </w:rPr>
        <w:br/>
        <w:t xml:space="preserve">   data is not a failed month.</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10. SHOW THE DATA CUTOFF beside the sync time on every page. 'Last synced 11:59 am</w:t>
      </w:r>
      <w:r>
        <w:rPr>
          <w:rFonts w:ascii="Courier New" w:cs="Courier New" w:eastAsia="Courier New" w:hAnsi="Courier New"/>
          <w:sz w:val="15"/>
          <w:szCs w:val="15"/>
        </w:rPr>
        <w:br/>
        <w:t xml:space="preserve">    27 Jul' above data ending 30 June reads as current when it is not.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prove each by displaying the value, never by asserting success:</w:t>
      </w:r>
      <w:r>
        <w:rPr>
          <w:rFonts w:ascii="Courier New" w:cs="Courier New" w:eastAsia="Courier New" w:hAnsi="Courier New"/>
          <w:sz w:val="15"/>
          <w:szCs w:val="15"/>
        </w:rPr>
        <w:br/>
        <w:t xml:space="preserve">  Apr  target Rs 24.94 Cr, order booked Rs 12.66 Cr, sales Rs 13.94 Cr, ach 50.8%</w:t>
      </w:r>
      <w:r>
        <w:rPr>
          <w:rFonts w:ascii="Courier New" w:cs="Courier New" w:eastAsia="Courier New" w:hAnsi="Courier New"/>
          <w:sz w:val="15"/>
          <w:szCs w:val="15"/>
        </w:rPr>
        <w:br/>
        <w:t xml:space="preserve">  May  target Rs 28.08 Cr, order booked Rs 20.43 Cr, sales Rs 20.15 Cr, ach 72.8%</w:t>
      </w:r>
      <w:r>
        <w:rPr>
          <w:rFonts w:ascii="Courier New" w:cs="Courier New" w:eastAsia="Courier New" w:hAnsi="Courier New"/>
          <w:sz w:val="15"/>
          <w:szCs w:val="15"/>
        </w:rPr>
        <w:br/>
        <w:t xml:space="preserve">  Jun  target Rs 28.32 Cr, order booked Rs 24.27 Cr, sales Rs 27.41 Cr, ach 85.7%</w:t>
      </w:r>
      <w:r>
        <w:rPr>
          <w:rFonts w:ascii="Courier New" w:cs="Courier New" w:eastAsia="Courier New" w:hAnsi="Courier New"/>
          <w:sz w:val="15"/>
          <w:szCs w:val="15"/>
        </w:rPr>
        <w:br/>
        <w:t xml:space="preserve">  Jul  target Rs 25.61 Cr, order booked Rs 0.00 Cr, and 'no actuals recorded yet'</w:t>
      </w:r>
      <w:r>
        <w:rPr>
          <w:rFonts w:ascii="Courier New" w:cs="Courier New" w:eastAsia="Courier New" w:hAnsi="Courier New"/>
          <w:sz w:val="15"/>
          <w:szCs w:val="15"/>
        </w:rPr>
        <w:br/>
        <w:t xml:space="preserve">  Q1 and YTD both Rs 81.34 Cr target, Rs 57.37 Cr order booked, 70.5 per cent</w:t>
      </w:r>
      <w:r>
        <w:rPr>
          <w:rFonts w:ascii="Courier New" w:cs="Courier New" w:eastAsia="Courier New" w:hAnsi="Courier New"/>
          <w:sz w:val="15"/>
          <w:szCs w:val="15"/>
        </w:rPr>
        <w:br/>
        <w:t xml:space="preserve">  the three months differ on every card - show all three</w:t>
      </w:r>
      <w:r>
        <w:rPr>
          <w:rFonts w:ascii="Courier New" w:cs="Courier New" w:eastAsia="Courier New" w:hAnsi="Courier New"/>
          <w:sz w:val="15"/>
          <w:szCs w:val="15"/>
        </w:rPr>
        <w:br/>
        <w:t xml:space="preserve">  Low Performers changes between Apr, May and Jun and is suppressed for Jul</w:t>
      </w:r>
      <w:r>
        <w:rPr>
          <w:rFonts w:ascii="Courier New" w:cs="Courier New" w:eastAsia="Courier New" w:hAnsi="Courier New"/>
          <w:sz w:val="15"/>
          <w:szCs w:val="15"/>
        </w:rPr>
        <w:br/>
        <w:t xml:space="preserve">  a page whose source has no monthly breakdown says NOT AVAILABLE for a single month</w:t>
      </w:r>
      <w:r>
        <w:rPr>
          <w:rFonts w:ascii="Courier New" w:cs="Courier New" w:eastAsia="Courier New" w:hAnsi="Courier New"/>
          <w:sz w:val="15"/>
          <w:szCs w:val="15"/>
        </w:rPr>
        <w:br/>
        <w:t xml:space="preserve">    rather than showing the year-to-date figure</w:t>
      </w:r>
      <w:r>
        <w:rPr>
          <w:rFonts w:ascii="Courier New" w:cs="Courier New" w:eastAsia="Courier New" w:hAnsi="Courier New"/>
          <w:sz w:val="15"/>
          <w:szCs w:val="15"/>
        </w:rPr>
        <w:br/>
        <w:t xml:space="preserve">  Anant Singh shows 10 active members and 3 marked LEFT, with Jagdev among them</w:t>
      </w:r>
      <w:r>
        <w:rPr>
          <w:rFonts w:ascii="Courier New" w:cs="Courier New" w:eastAsia="Courier New" w:hAnsi="Courier New"/>
          <w:sz w:val="15"/>
          <w:szCs w:val="15"/>
        </w:rPr>
        <w:br/>
        <w:t xml:space="preserve">  no visit plan is generated for any member marked LEFT</w:t>
      </w:r>
      <w:r>
        <w:rPr>
          <w:rFonts w:ascii="Courier New" w:cs="Courier New" w:eastAsia="Courier New" w:hAnsi="Courier New"/>
          <w:sz w:val="15"/>
          <w:szCs w:val="15"/>
        </w:rPr>
        <w:br/>
        <w:t xml:space="preserve">  per-member elapsed months come from column BD - Rahul Singh 0.47, Jagdev 2.43</w:t>
      </w:r>
      <w:r>
        <w:rPr>
          <w:rFonts w:ascii="Courier New" w:cs="Courier New" w:eastAsia="Courier New" w:hAnsi="Courier New"/>
          <w:sz w:val="15"/>
          <w:szCs w:val="15"/>
        </w:rPr>
        <w:br/>
        <w:t xml:space="preserve">  every page is audited and the list of pages that were reading a fixed YTD figure</w:t>
      </w:r>
      <w:r>
        <w:rPr>
          <w:rFonts w:ascii="Courier New" w:cs="Courier New" w:eastAsia="Courier New" w:hAnsi="Courier New"/>
          <w:sz w:val="15"/>
          <w:szCs w:val="15"/>
        </w:rPr>
        <w:br/>
        <w:t xml:space="preserve">    is reported</w:t>
      </w:r>
    </w:p>
    <w:p>
      <w:pPr>
        <w:pStyle w:val="Heading1"/>
        <w:spacing w:after="100" w:before="240"/>
      </w:pPr>
      <w:r>
        <w:rPr>
          <w:b/>
          <w:bCs/>
        </w:rPr>
        <w:t xml:space="preserve">What to watch</w:t>
      </w:r>
    </w:p>
    <w:p>
      <w:pPr>
        <w:spacing w:after="40"/>
        <w:ind w:left="360"/>
      </w:pPr>
      <w:r>
        <w:t xml:space="preserve">- The cheapest check: select April, then June, and compare any one card. If they match, nothing is fixed.</w:t>
      </w:r>
    </w:p>
    <w:p>
      <w:pPr>
        <w:spacing w:after="40"/>
        <w:ind w:left="360"/>
      </w:pPr>
      <w:r>
        <w:t xml:space="preserve">- Insist on the page audit in item 7. The State Head page is where this was noticed, not where it stops - the same fault will exist wherever a page was written before the selector.</w:t>
      </w:r>
    </w:p>
    <w:p>
      <w:pPr>
        <w:spacing w:after="40"/>
        <w:ind w:left="360"/>
      </w:pPr>
      <w:r>
        <w:t xml:space="preserve">- A page that cannot honour a monthly selection must SAY SO. Silently returning year-to-date is the bug, and it will look like a fix if only the labels are checked.</w:t>
      </w:r>
    </w:p>
    <w:p>
      <w:pPr>
        <w:spacing w:after="40"/>
        <w:ind w:left="360"/>
      </w:pPr>
      <w:r>
        <w:t xml:space="preserve">- Jagdev needs removing from the delivered Anant Singh pack, or the pack needs regenerating with 10 active members. A visit plan for someone who has left is the kind of error that damages trust in everything else in the pack.</w:t>
      </w:r>
    </w:p>
    <w:p>
      <w:pPr>
        <w:spacing w:after="40"/>
        <w:ind w:left="360"/>
      </w:pPr>
      <w:r>
        <w:t xml:space="preserve">- Column BD must be read, not recomputed. If the app derives its own elapsed months it will disagree with the targets, and the disagreement will be small enough to go unnoticed and large enough to matter.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period filter and leaver columns</dc:title>
  <dc:creator>Prayag AI Team</dc:creator>
  <cp:lastModifiedBy>Un-named</cp:lastModifiedBy>
  <cp:revision>1</cp:revision>
  <dcterms:created xsi:type="dcterms:W3CDTF">2026-07-27T07:21:13.113Z</dcterms:created>
  <dcterms:modified xsi:type="dcterms:W3CDTF">2026-07-27T07:21:13.129Z</dcterms:modified>
</cp:coreProperties>
</file>

<file path=docProps/custom.xml><?xml version="1.0" encoding="utf-8"?>
<Properties xmlns="http://schemas.openxmlformats.org/officeDocument/2006/custom-properties" xmlns:vt="http://schemas.openxmlformats.org/officeDocument/2006/docPropsVTypes"/>
</file>