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PROMPT 68</w:t>
      </w:r>
    </w:p>
    <w:p>
      <w:pPr>
        <w:pStyle w:val="Title"/>
        <w:jc w:val="center"/>
      </w:pPr>
      <w:r>
        <w:t>Production Verification Report</w:t>
      </w:r>
    </w:p>
    <w:p>
      <w:pPr>
        <w:jc w:val="center"/>
      </w:pPr>
      <w:r>
        <w:rPr>
          <w:i/>
          <w:color w:val="666666"/>
          <w:sz w:val="22"/>
        </w:rPr>
        <w:t>Prayag Sales Intelligence  |  FY2026–27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E2F0D9"/>
            <w:vAlign w:val="center"/>
          </w:tcPr>
          <w:p>
            <w:pPr>
              <w:jc w:val="center"/>
            </w:pPr>
            <w:r>
              <w:rPr>
                <w:b/>
                <w:color w:val="375623"/>
                <w:sz w:val="24"/>
              </w:rPr>
              <w:t>COMPLETED AND VERIFIED IN PRODUCTION</w:t>
            </w:r>
          </w:p>
        </w:tc>
      </w:tr>
    </w:tbl>
    <w:p>
      <w:pPr>
        <w:pStyle w:val="Heading1"/>
      </w:pPr>
      <w:r>
        <w:t>Executive summary</w:t>
      </w:r>
    </w:p>
    <w:p>
      <w:r>
        <w:t>The effective-dated item-code category registry was rebuilt using Prayag’s two-level Products taxonomy and applied atomically in production. All FY2026–27 allocation controls reconcile exactly, historical Phase 1 assignments were retained through supersession, and the Products API and Excel export were verified successfully.</w:t>
      </w:r>
    </w:p>
    <w:p>
      <w:pPr>
        <w:pStyle w:val="Heading1"/>
      </w:pPr>
      <w:r>
        <w:t>Registry apply</w:t>
      </w:r>
    </w:p>
    <w:p>
      <w:pPr>
        <w:pStyle w:val="ListBullet"/>
      </w:pPr>
      <w:r>
        <w:t>Applied successfully and atomically as load 1.</w:t>
      </w:r>
    </w:p>
    <w:p>
      <w:pPr>
        <w:pStyle w:val="ListBullet"/>
      </w:pPr>
      <w:r>
        <w:t>Active registry rows: 10,417.</w:t>
      </w:r>
    </w:p>
    <w:p>
      <w:pPr>
        <w:pStyle w:val="ListBullet"/>
      </w:pPr>
      <w:r>
        <w:t>Distinct active codes: 10,417.</w:t>
      </w:r>
    </w:p>
    <w:p>
      <w:pPr>
        <w:pStyle w:val="ListBullet"/>
      </w:pPr>
      <w:r>
        <w:t>Active master categories: 6.</w:t>
      </w:r>
    </w:p>
    <w:p>
      <w:pPr>
        <w:pStyle w:val="ListBullet"/>
      </w:pPr>
      <w:r>
        <w:t>Active sub-categories: 31.</w:t>
      </w:r>
    </w:p>
    <w:p>
      <w:pPr>
        <w:pStyle w:val="ListBullet"/>
      </w:pPr>
      <w:r>
        <w:t>Historical Phase 1 rows superseded: 8,272.</w:t>
      </w:r>
    </w:p>
    <w:p>
      <w:pPr>
        <w:pStyle w:val="ListBullet"/>
      </w:pPr>
      <w:r>
        <w:t>Superseded rows deleted: 0.</w:t>
      </w:r>
    </w:p>
    <w:p>
      <w:pPr>
        <w:pStyle w:val="ListBullet"/>
      </w:pPr>
      <w:r>
        <w:t>Total registry history retained: 20,116 rows.</w:t>
      </w:r>
    </w:p>
    <w:p>
      <w:pPr>
        <w:pStyle w:val="Heading1"/>
      </w:pPr>
      <w:r>
        <w:t>FY2026–27 control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  <w:vAlign w:val="center"/>
          </w:tcPr>
          <w:p>
            <w:r>
              <w:rPr>
                <w:b/>
                <w:color w:val="FFFFFF"/>
              </w:rPr>
              <w:t>Master category</w:t>
            </w:r>
          </w:p>
        </w:tc>
        <w:tc>
          <w:tcPr>
            <w:tcW w:type="dxa" w:w="3389"/>
            <w:shd w:fill="2F5597"/>
            <w:vAlign w:val="center"/>
          </w:tcPr>
          <w:p>
            <w:r>
              <w:rPr>
                <w:b/>
                <w:color w:val="FFFFFF"/>
              </w:rPr>
              <w:t>Sold codes</w:t>
            </w:r>
          </w:p>
        </w:tc>
        <w:tc>
          <w:tcPr>
            <w:tcW w:type="dxa" w:w="3389"/>
            <w:shd w:fill="2F5597"/>
            <w:vAlign w:val="center"/>
          </w:tcPr>
          <w:p>
            <w:r>
              <w:rPr>
                <w:b/>
                <w:color w:val="FFFFFF"/>
              </w:rPr>
              <w:t>Sales value</w:t>
            </w:r>
          </w:p>
        </w:tc>
      </w:tr>
      <w:tr>
        <w:tc>
          <w:tcPr>
            <w:tcW w:type="dxa" w:w="3389"/>
            <w:vAlign w:val="center"/>
          </w:tcPr>
          <w:p>
            <w:r>
              <w:t>PLUMBING</w:t>
            </w:r>
          </w:p>
        </w:tc>
        <w:tc>
          <w:tcPr>
            <w:tcW w:type="dxa" w:w="3389"/>
            <w:vAlign w:val="center"/>
          </w:tcPr>
          <w:p>
            <w:pPr>
              <w:jc w:val="right"/>
            </w:pPr>
            <w:r>
              <w:t>1,053</w:t>
            </w:r>
          </w:p>
        </w:tc>
        <w:tc>
          <w:tcPr>
            <w:tcW w:type="dxa" w:w="3389"/>
            <w:vAlign w:val="center"/>
          </w:tcPr>
          <w:p>
            <w:pPr>
              <w:jc w:val="right"/>
            </w:pPr>
            <w:r>
              <w:t>₹459,815,505.75</w:t>
            </w:r>
          </w:p>
        </w:tc>
      </w:tr>
      <w:tr>
        <w:tc>
          <w:tcPr>
            <w:tcW w:type="dxa" w:w="3389"/>
            <w:vAlign w:val="center"/>
            <w:shd w:fill="F3F6FA"/>
          </w:tcPr>
          <w:p>
            <w:r>
              <w:t>PTMT</w:t>
            </w:r>
          </w:p>
        </w:tc>
        <w:tc>
          <w:tcPr>
            <w:tcW w:type="dxa" w:w="3389"/>
            <w:vAlign w:val="center"/>
            <w:shd w:fill="F3F6FA"/>
          </w:tcPr>
          <w:p>
            <w:pPr>
              <w:jc w:val="right"/>
            </w:pPr>
            <w:r>
              <w:t>1,222</w:t>
            </w:r>
          </w:p>
        </w:tc>
        <w:tc>
          <w:tcPr>
            <w:tcW w:type="dxa" w:w="3389"/>
            <w:vAlign w:val="center"/>
            <w:shd w:fill="F3F6FA"/>
          </w:tcPr>
          <w:p>
            <w:pPr>
              <w:jc w:val="right"/>
            </w:pPr>
            <w:r>
              <w:t>₹430,817,629.14</w:t>
            </w:r>
          </w:p>
        </w:tc>
      </w:tr>
      <w:tr>
        <w:tc>
          <w:tcPr>
            <w:tcW w:type="dxa" w:w="3389"/>
            <w:vAlign w:val="center"/>
          </w:tcPr>
          <w:p>
            <w:r>
              <w:t>C P</w:t>
            </w:r>
          </w:p>
        </w:tc>
        <w:tc>
          <w:tcPr>
            <w:tcW w:type="dxa" w:w="3389"/>
            <w:vAlign w:val="center"/>
          </w:tcPr>
          <w:p>
            <w:pPr>
              <w:jc w:val="right"/>
            </w:pPr>
            <w:r>
              <w:t>1,128</w:t>
            </w:r>
          </w:p>
        </w:tc>
        <w:tc>
          <w:tcPr>
            <w:tcW w:type="dxa" w:w="3389"/>
            <w:vAlign w:val="center"/>
          </w:tcPr>
          <w:p>
            <w:pPr>
              <w:jc w:val="right"/>
            </w:pPr>
            <w:r>
              <w:t>₹333,224,362.92</w:t>
            </w:r>
          </w:p>
        </w:tc>
      </w:tr>
      <w:tr>
        <w:tc>
          <w:tcPr>
            <w:tcW w:type="dxa" w:w="3389"/>
            <w:vAlign w:val="center"/>
            <w:shd w:fill="F3F6FA"/>
          </w:tcPr>
          <w:p>
            <w:r>
              <w:t>SANITARYWARE</w:t>
            </w:r>
          </w:p>
        </w:tc>
        <w:tc>
          <w:tcPr>
            <w:tcW w:type="dxa" w:w="3389"/>
            <w:vAlign w:val="center"/>
            <w:shd w:fill="F3F6FA"/>
          </w:tcPr>
          <w:p>
            <w:pPr>
              <w:jc w:val="right"/>
            </w:pPr>
            <w:r>
              <w:t>236</w:t>
            </w:r>
          </w:p>
        </w:tc>
        <w:tc>
          <w:tcPr>
            <w:tcW w:type="dxa" w:w="3389"/>
            <w:vAlign w:val="center"/>
            <w:shd w:fill="F3F6FA"/>
          </w:tcPr>
          <w:p>
            <w:pPr>
              <w:jc w:val="right"/>
            </w:pPr>
            <w:r>
              <w:t>₹68,911,307.60</w:t>
            </w:r>
          </w:p>
        </w:tc>
      </w:tr>
      <w:tr>
        <w:tc>
          <w:tcPr>
            <w:tcW w:type="dxa" w:w="3389"/>
            <w:vAlign w:val="center"/>
          </w:tcPr>
          <w:p>
            <w:r>
              <w:t>SINK</w:t>
            </w:r>
          </w:p>
        </w:tc>
        <w:tc>
          <w:tcPr>
            <w:tcW w:type="dxa" w:w="3389"/>
            <w:vAlign w:val="center"/>
          </w:tcPr>
          <w:p>
            <w:pPr>
              <w:jc w:val="right"/>
            </w:pPr>
            <w:r>
              <w:t>199</w:t>
            </w:r>
          </w:p>
        </w:tc>
        <w:tc>
          <w:tcPr>
            <w:tcW w:type="dxa" w:w="3389"/>
            <w:vAlign w:val="center"/>
          </w:tcPr>
          <w:p>
            <w:pPr>
              <w:jc w:val="right"/>
            </w:pPr>
            <w:r>
              <w:t>₹61,220,747.03</w:t>
            </w:r>
          </w:p>
        </w:tc>
      </w:tr>
      <w:tr>
        <w:tc>
          <w:tcPr>
            <w:tcW w:type="dxa" w:w="3389"/>
            <w:vAlign w:val="center"/>
            <w:shd w:fill="F3F6FA"/>
          </w:tcPr>
          <w:p>
            <w:r>
              <w:t>HARDWARE</w:t>
            </w:r>
          </w:p>
        </w:tc>
        <w:tc>
          <w:tcPr>
            <w:tcW w:type="dxa" w:w="3389"/>
            <w:vAlign w:val="center"/>
            <w:shd w:fill="F3F6FA"/>
          </w:tcPr>
          <w:p>
            <w:pPr>
              <w:jc w:val="right"/>
            </w:pPr>
            <w:r>
              <w:t>162</w:t>
            </w:r>
          </w:p>
        </w:tc>
        <w:tc>
          <w:tcPr>
            <w:tcW w:type="dxa" w:w="3389"/>
            <w:vAlign w:val="center"/>
            <w:shd w:fill="F3F6FA"/>
          </w:tcPr>
          <w:p>
            <w:pPr>
              <w:jc w:val="right"/>
            </w:pPr>
            <w:r>
              <w:t>₹8,744,519.09</w:t>
            </w:r>
          </w:p>
        </w:tc>
      </w:tr>
      <w:tr>
        <w:tc>
          <w:tcPr>
            <w:tcW w:type="dxa" w:w="3389"/>
            <w:vAlign w:val="center"/>
            <w:shd w:fill="D9EAF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jc w:val="right"/>
            </w:pPr>
            <w:r>
              <w:rPr>
                <w:b/>
              </w:rPr>
              <w:t>4,000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jc w:val="right"/>
            </w:pPr>
            <w:r>
              <w:rPr>
                <w:b/>
              </w:rPr>
              <w:t>₹1,362,734,071.53</w:t>
            </w:r>
          </w:p>
        </w:tc>
      </w:tr>
    </w:tbl>
    <w:p>
      <w:pPr>
        <w:jc w:val="right"/>
      </w:pPr>
      <w:r>
        <w:rPr>
          <w:b/>
          <w:color w:val="17365D"/>
        </w:rPr>
        <w:t>Approved anchor: ₹136.2734072 Cr</w:t>
      </w:r>
    </w:p>
    <w:p>
      <w:pPr>
        <w:pStyle w:val="ListBullet"/>
      </w:pPr>
      <w:r>
        <w:t>Sales rows: 57,114.</w:t>
      </w:r>
    </w:p>
    <w:p>
      <w:pPr>
        <w:pStyle w:val="ListBullet"/>
      </w:pPr>
      <w:r>
        <w:t>Unmapped codes/value: zero.</w:t>
      </w:r>
    </w:p>
    <w:p>
      <w:pPr>
        <w:pStyle w:val="ListBullet"/>
      </w:pPr>
      <w:r>
        <w:t>Multi-master or overlapping rows: zero.</w:t>
      </w:r>
    </w:p>
    <w:p>
      <w:pPr>
        <w:pStyle w:val="ListBullet"/>
      </w:pPr>
      <w:r>
        <w:t>Master sum delta: ₹0.</w:t>
      </w:r>
    </w:p>
    <w:p>
      <w:pPr>
        <w:pStyle w:val="ListBullet"/>
      </w:pPr>
      <w:r>
        <w:t>Allocation proof: exact.</w:t>
      </w:r>
    </w:p>
    <w:p>
      <w:pPr>
        <w:pStyle w:val="Heading1"/>
      </w:pPr>
      <w:r>
        <w:t>Evidence retained</w:t>
      </w:r>
    </w:p>
    <w:p>
      <w:r>
        <w:t>All 10,417 assignment-evidence rows were recorded. The following source corrections are preserved in the production evidence tables: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  <w:vAlign w:val="center"/>
          </w:tcPr>
          <w:p>
            <w:r>
              <w:rPr>
                <w:b/>
                <w:color w:val="FFFFFF"/>
              </w:rPr>
              <w:t>Source value</w:t>
            </w:r>
          </w:p>
        </w:tc>
        <w:tc>
          <w:tcPr>
            <w:tcW w:type="dxa" w:w="3389"/>
            <w:shd w:fill="2F5597"/>
            <w:vAlign w:val="center"/>
          </w:tcPr>
          <w:p>
            <w:r>
              <w:rPr>
                <w:b/>
                <w:color w:val="FFFFFF"/>
              </w:rPr>
              <w:t>Normalized result</w:t>
            </w:r>
          </w:p>
        </w:tc>
        <w:tc>
          <w:tcPr>
            <w:tcW w:type="dxa" w:w="3389"/>
            <w:shd w:fill="2F5597"/>
            <w:vAlign w:val="center"/>
          </w:tcPr>
          <w:p>
            <w:r>
              <w:rPr>
                <w:b/>
                <w:color w:val="FFFFFF"/>
              </w:rPr>
              <w:t>Treatment</w:t>
            </w:r>
          </w:p>
        </w:tc>
      </w:tr>
      <w:tr>
        <w:tc>
          <w:tcPr>
            <w:tcW w:type="dxa" w:w="3389"/>
            <w:vAlign w:val="center"/>
          </w:tcPr>
          <w:p>
            <w:r>
              <w:t>CP</w:t>
            </w:r>
          </w:p>
        </w:tc>
        <w:tc>
          <w:tcPr>
            <w:tcW w:type="dxa" w:w="3389"/>
            <w:vAlign w:val="center"/>
          </w:tcPr>
          <w:p>
            <w:pPr>
              <w:jc w:val="right"/>
            </w:pPr>
            <w:r>
              <w:t>C P</w:t>
            </w:r>
          </w:p>
        </w:tc>
        <w:tc>
          <w:tcPr>
            <w:tcW w:type="dxa" w:w="3389"/>
            <w:vAlign w:val="center"/>
          </w:tcPr>
          <w:p>
            <w:pPr>
              <w:jc w:val="right"/>
            </w:pPr>
            <w:r>
              <w:t>Merged into the approved master category</w:t>
            </w:r>
          </w:p>
        </w:tc>
      </w:tr>
      <w:tr>
        <w:tc>
          <w:tcPr>
            <w:tcW w:type="dxa" w:w="3389"/>
            <w:vAlign w:val="center"/>
            <w:shd w:fill="F3F6FA"/>
          </w:tcPr>
          <w:p>
            <w:r>
              <w:t>CONECTION</w:t>
            </w:r>
          </w:p>
        </w:tc>
        <w:tc>
          <w:tcPr>
            <w:tcW w:type="dxa" w:w="3389"/>
            <w:vAlign w:val="center"/>
            <w:shd w:fill="F3F6FA"/>
          </w:tcPr>
          <w:p>
            <w:pPr>
              <w:jc w:val="right"/>
            </w:pPr>
            <w:r>
              <w:t>CONNECTION</w:t>
            </w:r>
          </w:p>
        </w:tc>
        <w:tc>
          <w:tcPr>
            <w:tcW w:type="dxa" w:w="3389"/>
            <w:vAlign w:val="center"/>
            <w:shd w:fill="F3F6FA"/>
          </w:tcPr>
          <w:p>
            <w:pPr>
              <w:jc w:val="right"/>
            </w:pPr>
            <w:r>
              <w:t>Spelling variant normalized</w:t>
            </w:r>
          </w:p>
        </w:tc>
      </w:tr>
      <w:tr>
        <w:tc>
          <w:tcPr>
            <w:tcW w:type="dxa" w:w="3389"/>
            <w:vAlign w:val="center"/>
          </w:tcPr>
          <w:p>
            <w:r>
              <w:t>Master Category / Sub Category</w:t>
            </w:r>
          </w:p>
        </w:tc>
        <w:tc>
          <w:tcPr>
            <w:tcW w:type="dxa" w:w="3389"/>
            <w:vAlign w:val="center"/>
          </w:tcPr>
          <w:p>
            <w:pPr>
              <w:jc w:val="right"/>
            </w:pPr>
            <w:r>
              <w:t>Excluded</w:t>
            </w:r>
          </w:p>
        </w:tc>
        <w:tc>
          <w:tcPr>
            <w:tcW w:type="dxa" w:w="3389"/>
            <w:vAlign w:val="center"/>
          </w:tcPr>
          <w:p>
            <w:pPr>
              <w:jc w:val="right"/>
            </w:pPr>
            <w:r>
              <w:t>Leaked header row removed</w:t>
            </w:r>
          </w:p>
        </w:tc>
      </w:tr>
    </w:tbl>
    <w:p>
      <w:r>
        <w:t>The 28 catalogue-only OTHER codes remain retained as excluded source evidence and were not inserted as active six-master assignments.</w:t>
      </w:r>
    </w:p>
    <w:p>
      <w:pPr>
        <w:pStyle w:val="Heading1"/>
      </w:pPr>
      <w:r>
        <w:t>Historical preservation</w:t>
      </w:r>
    </w:p>
    <w:p>
      <w:r>
        <w:t>Phase 1 assignments were superseded through effective dating rather than deleted. Production contains 8,272 superseded historical rows with an effective end date of 1 April 2026, alongside 10,417 new active assignments effective from that date.</w:t>
      </w:r>
    </w:p>
    <w:p>
      <w:pPr>
        <w:pStyle w:val="Heading1"/>
      </w:pPr>
      <w:r>
        <w:t>Products API, export and frontend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c>
          <w:tcPr>
            <w:tcW w:type="dxa" w:w="5083"/>
            <w:shd w:fill="2F5597"/>
            <w:vAlign w:val="center"/>
          </w:tcPr>
          <w:p>
            <w:r>
              <w:rPr>
                <w:b/>
                <w:color w:val="FFFFFF"/>
              </w:rPr>
              <w:t>Verification</w:t>
            </w:r>
          </w:p>
        </w:tc>
        <w:tc>
          <w:tcPr>
            <w:tcW w:type="dxa" w:w="5083"/>
            <w:shd w:fill="2F5597"/>
            <w:vAlign w:val="center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083"/>
            <w:vAlign w:val="center"/>
          </w:tcPr>
          <w:p>
            <w:r>
              <w:t>Products API</w:t>
            </w:r>
          </w:p>
        </w:tc>
        <w:tc>
          <w:tcPr>
            <w:tcW w:type="dxa" w:w="5083"/>
            <w:vAlign w:val="center"/>
          </w:tcPr>
          <w:p>
            <w:pPr>
              <w:jc w:val="right"/>
            </w:pPr>
            <w:r>
              <w:t>HTTP 200; approximately 0.48 seconds</w:t>
            </w:r>
          </w:p>
        </w:tc>
      </w:tr>
      <w:tr>
        <w:tc>
          <w:tcPr>
            <w:tcW w:type="dxa" w:w="5083"/>
            <w:vAlign w:val="center"/>
            <w:shd w:fill="F3F6FA"/>
          </w:tcPr>
          <w:p>
            <w:r>
              <w:t>Products Excel export</w:t>
            </w:r>
          </w:p>
        </w:tc>
        <w:tc>
          <w:tcPr>
            <w:tcW w:type="dxa" w:w="5083"/>
            <w:vAlign w:val="center"/>
            <w:shd w:fill="F3F6FA"/>
          </w:tcPr>
          <w:p>
            <w:pPr>
              <w:jc w:val="right"/>
            </w:pPr>
            <w:r>
              <w:t>HTTP 200; approximately 8.49 seconds</w:t>
            </w:r>
          </w:p>
        </w:tc>
      </w:tr>
      <w:tr>
        <w:tc>
          <w:tcPr>
            <w:tcW w:type="dxa" w:w="5083"/>
            <w:vAlign w:val="center"/>
          </w:tcPr>
          <w:p>
            <w:r>
              <w:t>Excel file validity</w:t>
            </w:r>
          </w:p>
        </w:tc>
        <w:tc>
          <w:tcPr>
            <w:tcW w:type="dxa" w:w="5083"/>
            <w:vAlign w:val="center"/>
          </w:tcPr>
          <w:p>
            <w:pPr>
              <w:jc w:val="right"/>
            </w:pPr>
            <w:r>
              <w:t>Valid Microsoft Excel 2007+ workbook</w:t>
            </w:r>
          </w:p>
        </w:tc>
      </w:tr>
      <w:tr>
        <w:tc>
          <w:tcPr>
            <w:tcW w:type="dxa" w:w="5083"/>
            <w:vAlign w:val="center"/>
            <w:shd w:fill="F3F6FA"/>
          </w:tcPr>
          <w:p>
            <w:r>
              <w:t>Worksheets</w:t>
            </w:r>
          </w:p>
        </w:tc>
        <w:tc>
          <w:tcPr>
            <w:tcW w:type="dxa" w:w="5083"/>
            <w:vAlign w:val="center"/>
            <w:shd w:fill="F3F6FA"/>
          </w:tcPr>
          <w:p>
            <w:pPr>
              <w:jc w:val="right"/>
            </w:pPr>
            <w:r>
              <w:t>Info and Products</w:t>
            </w:r>
          </w:p>
        </w:tc>
      </w:tr>
      <w:tr>
        <w:tc>
          <w:tcPr>
            <w:tcW w:type="dxa" w:w="5083"/>
            <w:vAlign w:val="center"/>
          </w:tcPr>
          <w:p>
            <w:r>
              <w:t>Allocation proof in export</w:t>
            </w:r>
          </w:p>
        </w:tc>
        <w:tc>
          <w:tcPr>
            <w:tcW w:type="dxa" w:w="5083"/>
            <w:vAlign w:val="center"/>
          </w:tcPr>
          <w:p>
            <w:pPr>
              <w:jc w:val="right"/>
            </w:pPr>
            <w:r>
              <w:t>Exact; zero uncovered and zero overlapping rows</w:t>
            </w:r>
          </w:p>
        </w:tc>
      </w:tr>
      <w:tr>
        <w:tc>
          <w:tcPr>
            <w:tcW w:type="dxa" w:w="5083"/>
            <w:vAlign w:val="center"/>
            <w:shd w:fill="F3F6FA"/>
          </w:tcPr>
          <w:p>
            <w:r>
              <w:t>Published frontend</w:t>
            </w:r>
          </w:p>
        </w:tc>
        <w:tc>
          <w:tcPr>
            <w:tcW w:type="dxa" w:w="5083"/>
            <w:vAlign w:val="center"/>
            <w:shd w:fill="F3F6FA"/>
          </w:tcPr>
          <w:p>
            <w:pPr>
              <w:jc w:val="right"/>
            </w:pPr>
            <w:r>
              <w:t>Loaded successfully; new master taxonomy present</w:t>
            </w:r>
          </w:p>
        </w:tc>
      </w:tr>
    </w:tbl>
    <w:p>
      <w:pPr>
        <w:pStyle w:val="ListBullet"/>
      </w:pPr>
      <w:r>
        <w:t>The export includes Master and Sub-category columns.</w:t>
      </w:r>
    </w:p>
    <w:p>
      <w:pPr>
        <w:pStyle w:val="ListBullet"/>
      </w:pPr>
      <w:r>
        <w:t>The export includes the allocation-proof basis and all six master taxonomy values.</w:t>
      </w:r>
    </w:p>
    <w:p>
      <w:pPr>
        <w:pStyle w:val="ListBullet"/>
      </w:pPr>
      <w:r>
        <w:t>The normalized registry-code index is active in production.</w:t>
      </w:r>
    </w:p>
    <w:p>
      <w:pPr>
        <w:pStyle w:val="ListBullet"/>
      </w:pPr>
      <w:r>
        <w:t>sale_line.group_canon was not modified.</w:t>
      </w:r>
    </w:p>
    <w:p>
      <w:pPr>
        <w:pStyle w:val="ListBullet"/>
      </w:pPr>
      <w:r>
        <w:t>The underlying FY2026–27 sales row count and exact value remained unchanged.</w:t>
      </w:r>
    </w:p>
    <w:p>
      <w:pPr>
        <w:pStyle w:val="Heading1"/>
      </w:pPr>
      <w:r>
        <w:t>Release traceability</w:t>
      </w:r>
    </w:p>
    <w:p>
      <w:r>
        <w:t>Final behavior-changing commit:</w:t>
      </w:r>
    </w:p>
    <w:p>
      <w:r>
        <w:rPr>
          <w:rFonts w:ascii="Consolas" w:hAnsi="Consolas"/>
          <w:b/>
          <w:sz w:val="18"/>
        </w:rPr>
        <w:t>bda45c481a1b46606260e964e40d9c4503cf9ff3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Prayag Sales Intelligence — Prompt 68 Production Verification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