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Prompt O1-G - verify the reactivated features</w:t>
      </w:r>
    </w:p>
    <w:p>
      <w:pPr>
        <w:spacing w:after="150"/>
      </w:pPr>
      <w:r>
        <w:rPr>
          <w:i/>
          <w:iCs/>
          <w:color w:val="555555"/>
        </w:rPr>
        <w:t xml:space="preserve">O1-F fixed the plumbing. This checks whether what now flows through it is correct. Send before O3.</w:t>
      </w:r>
    </w:p>
    <w:p>
      <w:pPr>
        <w:pStyle w:val="Heading1"/>
        <w:spacing w:after="110" w:before="250"/>
      </w:pPr>
      <w:r>
        <w:rPr>
          <w:b/>
          <w:bCs/>
        </w:rPr>
        <w:t xml:space="preserve">Where O1-F got to</w:t>
      </w:r>
    </w:p>
    <w:p>
      <w:pPr>
        <w:pStyle w:val="Heading2"/>
        <w:spacing w:after="70" w:before="190"/>
      </w:pPr>
      <w:r>
        <w:rPr>
          <w:b/>
          <w:bCs/>
        </w:rPr>
        <w:t xml:space="preserve">Proven</w:t>
      </w:r>
    </w:p>
    <w:p>
      <w:pPr>
        <w:spacing w:after="40"/>
        <w:ind w:left="360"/>
      </w:pPr>
      <w:r>
        <w:t xml:space="preserve">- The view exists; seven filter locations fixed, including two the scan found in companyReports.ts that nobody had listed.</w:t>
      </w:r>
    </w:p>
    <w:p>
      <w:pPr>
        <w:spacing w:after="40"/>
        <w:ind w:left="360"/>
      </w:pPr>
      <w:r>
        <w:t xml:space="preserve">- The Rs 25,215 proof is arithmetically exact: current 3,595,213,170 + superseded 25,215 = 3,595,238,385, matching the reported all-versions total.</w:t>
      </w:r>
    </w:p>
    <w:p>
      <w:pPr>
        <w:spacing w:after="40"/>
        <w:ind w:left="360"/>
      </w:pPr>
      <w:r>
        <w:t xml:space="preserve">- Tab-diagnostic grand total lands on Rs 3,595,213,168, consistent with the per-month rounding convention.</w:t>
      </w:r>
    </w:p>
    <w:p>
      <w:pPr>
        <w:pStyle w:val="Heading2"/>
        <w:spacing w:after="70" w:before="190"/>
      </w:pPr>
      <w:r>
        <w:rPr>
          <w:b/>
          <w:bCs/>
        </w:rPr>
        <w:t xml:space="preserve">Not proven - and this was the point of the prompt</w:t>
      </w:r>
    </w:p>
    <w:p>
      <w:pPr>
        <w:spacing w:after="100"/>
      </w:pPr>
      <w:r>
        <w:t xml:space="preserve">The four reactivated features had never executed against real data. Confirming they no longer throw is the easy half. Three of the four have no output verification at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Mar>
              <w:top w:type="dxa" w:w="50"/>
              <w:left w:type="dxa" w:w="80"/>
              <w:bottom w:type="dxa" w:w="50"/>
              <w:right w:type="dxa" w:w="80"/>
            </w:tcMar>
          </w:tcPr>
          <w:p>
            <w:r>
              <w:rPr>
                <w:b/>
                <w:bCs/>
                <w:sz w:val="17"/>
                <w:szCs w:val="17"/>
              </w:rPr>
              <w:t xml:space="preserve">Feature</w:t>
            </w:r>
          </w:p>
        </w:tc>
        <w:tc>
          <w:tcPr>
            <w:tcW w:type="pct" w:w="30%"/>
            <w:tcMar>
              <w:top w:type="dxa" w:w="50"/>
              <w:left w:type="dxa" w:w="80"/>
              <w:bottom w:type="dxa" w:w="50"/>
              <w:right w:type="dxa" w:w="80"/>
            </w:tcMar>
          </w:tcPr>
          <w:p>
            <w:r>
              <w:rPr>
                <w:b/>
                <w:bCs/>
                <w:sz w:val="17"/>
                <w:szCs w:val="17"/>
              </w:rPr>
              <w:t xml:space="preserve">What was reported</w:t>
            </w:r>
          </w:p>
        </w:tc>
        <w:tc>
          <w:tcPr>
            <w:tcW w:type="pct" w:w="46%"/>
            <w:tcMar>
              <w:top w:type="dxa" w:w="50"/>
              <w:left w:type="dxa" w:w="80"/>
              <w:bottom w:type="dxa" w:w="50"/>
              <w:right w:type="dxa" w:w="80"/>
            </w:tcMar>
          </w:tcPr>
          <w:p>
            <w:r>
              <w:rPr>
                <w:b/>
                <w:bCs/>
                <w:sz w:val="17"/>
                <w:szCs w:val="17"/>
              </w:rPr>
              <w:t xml:space="preserve">What is missing</w:t>
            </w:r>
          </w:p>
        </w:tc>
      </w:tr>
      <w:tr>
        <w:trPr>
          <w:tblHeader w:val="false"/>
        </w:trPr>
        <w:tc>
          <w:tcPr>
            <w:tcW w:type="pct" w:w="24%"/>
            <w:tcMar>
              <w:top w:type="dxa" w:w="50"/>
              <w:left w:type="dxa" w:w="80"/>
              <w:bottom w:type="dxa" w:w="50"/>
              <w:right w:type="dxa" w:w="80"/>
            </w:tcMar>
          </w:tcPr>
          <w:p>
            <w:r>
              <w:rPr>
                <w:b w:val="false"/>
                <w:bCs w:val="false"/>
                <w:sz w:val="17"/>
                <w:szCs w:val="17"/>
              </w:rPr>
              <w:t xml:space="preserve">Customer performance</w:t>
            </w:r>
          </w:p>
        </w:tc>
        <w:tc>
          <w:tcPr>
            <w:tcW w:type="pct" w:w="30%"/>
            <w:tcMar>
              <w:top w:type="dxa" w:w="50"/>
              <w:left w:type="dxa" w:w="80"/>
              <w:bottom w:type="dxa" w:w="50"/>
              <w:right w:type="dxa" w:w="80"/>
            </w:tcMar>
          </w:tcPr>
          <w:p>
            <w:r>
              <w:rPr>
                <w:b w:val="false"/>
                <w:bCs w:val="false"/>
                <w:sz w:val="17"/>
                <w:szCs w:val="17"/>
              </w:rPr>
              <w:t xml:space="preserve">664 rows; one sample row</w:t>
            </w:r>
          </w:p>
        </w:tc>
        <w:tc>
          <w:tcPr>
            <w:tcW w:type="pct" w:w="46%"/>
            <w:tcMar>
              <w:top w:type="dxa" w:w="50"/>
              <w:left w:type="dxa" w:w="80"/>
              <w:bottom w:type="dxa" w:w="50"/>
              <w:right w:type="dxa" w:w="80"/>
            </w:tcMar>
          </w:tcPr>
          <w:p>
            <w:r>
              <w:rPr>
                <w:b w:val="false"/>
                <w:bCs w:val="false"/>
                <w:sz w:val="17"/>
                <w:szCs w:val="17"/>
              </w:rPr>
              <w:t xml:space="preserve">Population looks wrong - see below</w:t>
            </w:r>
          </w:p>
        </w:tc>
      </w:tr>
      <w:tr>
        <w:trPr>
          <w:tblHeader w:val="false"/>
        </w:trPr>
        <w:tc>
          <w:tcPr>
            <w:tcW w:type="pct" w:w="24%"/>
            <w:tcMar>
              <w:top w:type="dxa" w:w="50"/>
              <w:left w:type="dxa" w:w="80"/>
              <w:bottom w:type="dxa" w:w="50"/>
              <w:right w:type="dxa" w:w="80"/>
            </w:tcMar>
          </w:tcPr>
          <w:p>
            <w:r>
              <w:rPr>
                <w:b w:val="false"/>
                <w:bCs w:val="false"/>
                <w:sz w:val="17"/>
                <w:szCs w:val="17"/>
              </w:rPr>
              <w:t xml:space="preserve">Laspeyres multiplier</w:t>
            </w:r>
          </w:p>
        </w:tc>
        <w:tc>
          <w:tcPr>
            <w:tcW w:type="pct" w:w="30%"/>
            <w:tcMar>
              <w:top w:type="dxa" w:w="50"/>
              <w:left w:type="dxa" w:w="80"/>
              <w:bottom w:type="dxa" w:w="50"/>
              <w:right w:type="dxa" w:w="80"/>
            </w:tcMar>
          </w:tcPr>
          <w:p>
            <w:r>
              <w:rPr>
                <w:b w:val="false"/>
                <w:bCs w:val="false"/>
                <w:sz w:val="17"/>
                <w:szCs w:val="17"/>
              </w:rPr>
              <w:t xml:space="preserve">response KEYS only, no values</w:t>
            </w:r>
          </w:p>
        </w:tc>
        <w:tc>
          <w:tcPr>
            <w:tcW w:type="pct" w:w="46%"/>
            <w:tcMar>
              <w:top w:type="dxa" w:w="50"/>
              <w:left w:type="dxa" w:w="80"/>
              <w:bottom w:type="dxa" w:w="50"/>
              <w:right w:type="dxa" w:w="80"/>
            </w:tcMar>
          </w:tcPr>
          <w:p>
            <w:r>
              <w:rPr>
                <w:b w:val="false"/>
                <w:bCs w:val="false"/>
                <w:sz w:val="17"/>
                <w:szCs w:val="17"/>
              </w:rPr>
              <w:t xml:space="preserve">Any actual figure</w:t>
            </w:r>
          </w:p>
        </w:tc>
      </w:tr>
      <w:tr>
        <w:trPr>
          <w:tblHeader w:val="false"/>
        </w:trPr>
        <w:tc>
          <w:tcPr>
            <w:tcW w:type="pct" w:w="24%"/>
            <w:tcMar>
              <w:top w:type="dxa" w:w="50"/>
              <w:left w:type="dxa" w:w="80"/>
              <w:bottom w:type="dxa" w:w="50"/>
              <w:right w:type="dxa" w:w="80"/>
            </w:tcMar>
          </w:tcPr>
          <w:p>
            <w:r>
              <w:rPr>
                <w:b w:val="false"/>
                <w:bCs w:val="false"/>
                <w:sz w:val="17"/>
                <w:szCs w:val="17"/>
              </w:rPr>
              <w:t xml:space="preserve">Scheme eligibility</w:t>
            </w:r>
          </w:p>
        </w:tc>
        <w:tc>
          <w:tcPr>
            <w:tcW w:type="pct" w:w="30%"/>
            <w:tcMar>
              <w:top w:type="dxa" w:w="50"/>
              <w:left w:type="dxa" w:w="80"/>
              <w:bottom w:type="dxa" w:w="50"/>
              <w:right w:type="dxa" w:w="80"/>
            </w:tcMar>
          </w:tcPr>
          <w:p>
            <w:r>
              <w:rPr>
                <w:b w:val="false"/>
                <w:bCs w:val="false"/>
                <w:sz w:val="17"/>
                <w:szCs w:val="17"/>
              </w:rPr>
              <w:t xml:space="preserve">{ schemes: [] }</w:t>
            </w:r>
          </w:p>
        </w:tc>
        <w:tc>
          <w:tcPr>
            <w:tcW w:type="pct" w:w="46%"/>
            <w:tcMar>
              <w:top w:type="dxa" w:w="50"/>
              <w:left w:type="dxa" w:w="80"/>
              <w:bottom w:type="dxa" w:w="50"/>
              <w:right w:type="dxa" w:w="80"/>
            </w:tcMar>
          </w:tcPr>
          <w:p>
            <w:r>
              <w:rPr>
                <w:b w:val="false"/>
                <w:bCs w:val="false"/>
                <w:sz w:val="17"/>
                <w:szCs w:val="17"/>
              </w:rPr>
              <w:t xml:space="preserve">Evidence the empty set is real, not a filter fault</w:t>
            </w:r>
          </w:p>
        </w:tc>
      </w:tr>
      <w:tr>
        <w:trPr>
          <w:tblHeader w:val="false"/>
        </w:trPr>
        <w:tc>
          <w:tcPr>
            <w:tcW w:type="pct" w:w="24%"/>
            <w:tcMar>
              <w:top w:type="dxa" w:w="50"/>
              <w:left w:type="dxa" w:w="80"/>
              <w:bottom w:type="dxa" w:w="50"/>
              <w:right w:type="dxa" w:w="80"/>
            </w:tcMar>
          </w:tcPr>
          <w:p>
            <w:r>
              <w:rPr>
                <w:b w:val="false"/>
                <w:bCs w:val="false"/>
                <w:sz w:val="17"/>
                <w:szCs w:val="17"/>
              </w:rPr>
              <w:t xml:space="preserve">Scheme nudge</w:t>
            </w:r>
          </w:p>
        </w:tc>
        <w:tc>
          <w:tcPr>
            <w:tcW w:type="pct" w:w="30%"/>
            <w:tcMar>
              <w:top w:type="dxa" w:w="50"/>
              <w:left w:type="dxa" w:w="80"/>
              <w:bottom w:type="dxa" w:w="50"/>
              <w:right w:type="dxa" w:w="80"/>
            </w:tcMar>
          </w:tcPr>
          <w:p>
            <w:r>
              <w:rPr>
                <w:b w:val="false"/>
                <w:bCs w:val="false"/>
                <w:sz w:val="17"/>
                <w:szCs w:val="17"/>
              </w:rPr>
              <w:t xml:space="preserve">219 nudges</w:t>
            </w:r>
          </w:p>
        </w:tc>
        <w:tc>
          <w:tcPr>
            <w:tcW w:type="pct" w:w="46%"/>
            <w:tcMar>
              <w:top w:type="dxa" w:w="50"/>
              <w:left w:type="dxa" w:w="80"/>
              <w:bottom w:type="dxa" w:w="50"/>
              <w:right w:type="dxa" w:w="80"/>
            </w:tcMar>
          </w:tcPr>
          <w:p>
            <w:r>
              <w:rPr>
                <w:b w:val="false"/>
                <w:bCs w:val="false"/>
                <w:sz w:val="17"/>
                <w:szCs w:val="17"/>
              </w:rPr>
              <w:t xml:space="preserve">Any check that 219 is plausible</w:t>
            </w:r>
          </w:p>
        </w:tc>
      </w:tr>
    </w:tbl>
    <w:p>
      <w:pPr>
        <w:pStyle w:val="Heading2"/>
        <w:spacing w:after="70" w:before="190"/>
      </w:pPr>
      <w:r>
        <w:rPr>
          <w:b/>
          <w:bCs/>
        </w:rPr>
        <w:t xml:space="preserve">The result that looks wrong</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Customer performance was queried as head=Anant+Singh and returned BMW Polytube, BIHAR. Anant Singh's territory is Delhi NCR, western UP and Uttarakhand - Ghaziabad, Delhi, Moradabad, Rudrapur, Faridabad, Haridwar, Aligarh, Meerut, Mathura, Agra. Bihar belongs to Sandeep Dadheech; the FY2024-25 primary data shows Bihar rows carrying SANDEEP JI as state head.</w:t>
      </w:r>
    </w:p>
    <w:p>
      <w:pPr>
        <w:spacing w:after="100"/>
      </w:pPr>
      <w:r>
        <w:t xml:space="preserve">The count compounds it. 664 customers were returned for ONE head, while the company has 1,525 channel partners in total across roughly ten heads - 44 percent of every channel partner attributed to a single head.</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The sample row's own arithmetic is internally consistent - price 51.58 and 52.65, quantity growth +18.8 percent, value growth +16.4 percent, price change -2.0 percent all reconcile exactly. That is precisely why it needs checking. Internally consistent figures computed over the wrong population are the most convincing kind of wrong answer, and the Laspeyres decomposition is running against real data for the first time.</w:t>
      </w:r>
    </w:p>
    <w:p>
      <w:pPr>
        <w:pStyle w:val="Heading1"/>
        <w:spacing w:after="110" w:before="250"/>
      </w:pPr>
      <w:r>
        <w:rPr>
          <w:b/>
          <w:bCs/>
        </w:rPr>
        <w:t xml:space="preserve">Prompt O1-G</w:t>
      </w:r>
    </w:p>
    <w:p>
      <w:pPr>
        <w:spacing w:after="20" w:before="100"/>
      </w:pPr>
      <w:r>
        <w:rPr>
          <w:b/>
          <w:bCs/>
          <w:i/>
          <w:iCs/>
          <w:color w:val="444444"/>
        </w:rPr>
        <w:t xml:space="preserve">PROMPT - O1-G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correction O1-G. Same global rules as every earlier phase. Send before</w:t>
      </w:r>
      <w:r>
        <w:rPr>
          <w:rFonts w:ascii="Courier New" w:cs="Courier New" w:eastAsia="Courier New" w:hAnsi="Courier New"/>
          <w:sz w:val="16"/>
          <w:szCs w:val="16"/>
        </w:rPr>
        <w:br/>
        <w:t xml:space="preserve">O3. O1-F fixed the plumbing; this verifies what now flows through it.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1. THE HEAD FILTER - most important item.</w:t>
      </w:r>
      <w:r>
        <w:rPr>
          <w:rFonts w:ascii="Courier New" w:cs="Courier New" w:eastAsia="Courier New" w:hAnsi="Courier New"/>
          <w:sz w:val="16"/>
          <w:szCs w:val="16"/>
        </w:rPr>
        <w:br/>
        <w:t xml:space="preserve">   GET /api/customers/performance?fy=2026-27&amp;head=Anant+Singh returned BMW Polytube</w:t>
      </w:r>
      <w:r>
        <w:rPr>
          <w:rFonts w:ascii="Courier New" w:cs="Courier New" w:eastAsia="Courier New" w:hAnsi="Courier New"/>
          <w:sz w:val="16"/>
          <w:szCs w:val="16"/>
        </w:rPr>
        <w:br/>
        <w:t xml:space="preserve">   (Bihar) among 664 rows. Bihar is Sandeep Dadheech's territory, not Anant Singh's,</w:t>
      </w:r>
      <w:r>
        <w:rPr>
          <w:rFonts w:ascii="Courier New" w:cs="Courier New" w:eastAsia="Courier New" w:hAnsi="Courier New"/>
          <w:sz w:val="16"/>
          <w:szCs w:val="16"/>
        </w:rPr>
        <w:br/>
        <w:t xml:space="preserve">   whose members sit in Delhi NCR, western UP and Uttarakhand. 664 customers is also</w:t>
      </w:r>
      <w:r>
        <w:rPr>
          <w:rFonts w:ascii="Courier New" w:cs="Courier New" w:eastAsia="Courier New" w:hAnsi="Courier New"/>
          <w:sz w:val="16"/>
          <w:szCs w:val="16"/>
        </w:rPr>
        <w:br/>
        <w:t xml:space="preserve">   44 percent of the company's 1,525 total channel partners for a single head.</w:t>
      </w:r>
      <w:r>
        <w:rPr>
          <w:rFonts w:ascii="Courier New" w:cs="Courier New" w:eastAsia="Courier New" w:hAnsi="Courier New"/>
          <w:sz w:val="16"/>
          <w:szCs w:val="16"/>
        </w:rPr>
        <w:br/>
        <w:t xml:space="preserve">   Report:</w:t>
      </w:r>
      <w:r>
        <w:rPr>
          <w:rFonts w:ascii="Courier New" w:cs="Courier New" w:eastAsia="Courier New" w:hAnsi="Courier New"/>
          <w:sz w:val="16"/>
          <w:szCs w:val="16"/>
        </w:rPr>
        <w:br/>
        <w:t xml:space="preserve">     a) the exact SQL executed for that request, printed in full</w:t>
      </w:r>
      <w:r>
        <w:rPr>
          <w:rFonts w:ascii="Courier New" w:cs="Courier New" w:eastAsia="Courier New" w:hAnsi="Courier New"/>
          <w:sz w:val="16"/>
          <w:szCs w:val="16"/>
        </w:rPr>
        <w:br/>
        <w:t xml:space="preserve">     b) whether the head parameter reaches the WHERE clause at all</w:t>
      </w:r>
      <w:r>
        <w:rPr>
          <w:rFonts w:ascii="Courier New" w:cs="Courier New" w:eastAsia="Courier New" w:hAnsi="Courier New"/>
          <w:sz w:val="16"/>
          <w:szCs w:val="16"/>
        </w:rPr>
        <w:br/>
        <w:t xml:space="preserve">     c) the distinct STATE values present in the 664 returned rows, with a row count</w:t>
      </w:r>
      <w:r>
        <w:rPr>
          <w:rFonts w:ascii="Courier New" w:cs="Courier New" w:eastAsia="Courier New" w:hAnsi="Courier New"/>
          <w:sz w:val="16"/>
          <w:szCs w:val="16"/>
        </w:rPr>
        <w:br/>
        <w:t xml:space="preserve">        for each - if states outside Anant Singh's territory appear, the filter is</w:t>
      </w:r>
      <w:r>
        <w:rPr>
          <w:rFonts w:ascii="Courier New" w:cs="Courier New" w:eastAsia="Courier New" w:hAnsi="Courier New"/>
          <w:sz w:val="16"/>
          <w:szCs w:val="16"/>
        </w:rPr>
        <w:br/>
        <w:t xml:space="preserve">        not working</w:t>
      </w:r>
      <w:r>
        <w:rPr>
          <w:rFonts w:ascii="Courier New" w:cs="Courier New" w:eastAsia="Courier New" w:hAnsi="Courier New"/>
          <w:sz w:val="16"/>
          <w:szCs w:val="16"/>
        </w:rPr>
        <w:br/>
        <w:t xml:space="preserve">     d) the row count with the head filter applied versus omitted; if they are equal,</w:t>
      </w:r>
      <w:r>
        <w:rPr>
          <w:rFonts w:ascii="Courier New" w:cs="Courier New" w:eastAsia="Courier New" w:hAnsi="Courier New"/>
          <w:sz w:val="16"/>
          <w:szCs w:val="16"/>
        </w:rPr>
        <w:br/>
        <w:t xml:space="preserve">        the filter is a no-op</w:t>
      </w:r>
      <w:r>
        <w:rPr>
          <w:rFonts w:ascii="Courier New" w:cs="Courier New" w:eastAsia="Courier New" w:hAnsi="Courier New"/>
          <w:sz w:val="16"/>
          <w:szCs w:val="16"/>
        </w:rPr>
        <w:br/>
        <w:t xml:space="preserve">     e) which column the head filter matches on, and whether it uses the same</w:t>
      </w:r>
      <w:r>
        <w:rPr>
          <w:rFonts w:ascii="Courier New" w:cs="Courier New" w:eastAsia="Courier New" w:hAnsi="Courier New"/>
          <w:sz w:val="16"/>
          <w:szCs w:val="16"/>
        </w:rPr>
        <w:br/>
        <w:t xml:space="preserve">        canonical head key as the rest of the app</w:t>
      </w:r>
      <w:r>
        <w:rPr>
          <w:rFonts w:ascii="Courier New" w:cs="Courier New" w:eastAsia="Courier New" w:hAnsi="Courier New"/>
          <w:sz w:val="16"/>
          <w:szCs w:val="16"/>
        </w:rPr>
        <w:br/>
        <w:t xml:space="preserve">   Fix it if broken, then re-report the row count and the distinct states.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2. REAL VALUES FROM ALL FOUR FEATURES. Response keys are not verification. For each,</w:t>
      </w:r>
      <w:r>
        <w:rPr>
          <w:rFonts w:ascii="Courier New" w:cs="Courier New" w:eastAsia="Courier New" w:hAnsi="Courier New"/>
          <w:sz w:val="16"/>
          <w:szCs w:val="16"/>
        </w:rPr>
        <w:br/>
        <w:t xml:space="preserve">   report actual figures and reconcile them to something already trusted:</w:t>
      </w:r>
      <w:r>
        <w:rPr>
          <w:rFonts w:ascii="Courier New" w:cs="Courier New" w:eastAsia="Courier New" w:hAnsi="Courier New"/>
          <w:sz w:val="16"/>
          <w:szCs w:val="16"/>
        </w:rPr>
        <w:br/>
        <w:t xml:space="preserve">     Laspeyres multiplier  - company-level index value, the number of categories, and</w:t>
      </w:r>
      <w:r>
        <w:rPr>
          <w:rFonts w:ascii="Courier New" w:cs="Courier New" w:eastAsia="Courier New" w:hAnsi="Courier New"/>
          <w:sz w:val="16"/>
          <w:szCs w:val="16"/>
        </w:rPr>
        <w:br/>
        <w:t xml:space="preserve">                             the index for each. State the base period.</w:t>
      </w:r>
      <w:r>
        <w:rPr>
          <w:rFonts w:ascii="Courier New" w:cs="Courier New" w:eastAsia="Courier New" w:hAnsi="Courier New"/>
          <w:sz w:val="16"/>
          <w:szCs w:val="16"/>
        </w:rPr>
        <w:br/>
        <w:t xml:space="preserve">     Customer performance  - total valCy summed across all rows for a head, compared</w:t>
      </w:r>
      <w:r>
        <w:rPr>
          <w:rFonts w:ascii="Courier New" w:cs="Courier New" w:eastAsia="Courier New" w:hAnsi="Courier New"/>
          <w:sz w:val="16"/>
          <w:szCs w:val="16"/>
        </w:rPr>
        <w:br/>
        <w:t xml:space="preserve">                             against that head's primary sale total for the same</w:t>
      </w:r>
      <w:r>
        <w:rPr>
          <w:rFonts w:ascii="Courier New" w:cs="Courier New" w:eastAsia="Courier New" w:hAnsi="Courier New"/>
          <w:sz w:val="16"/>
          <w:szCs w:val="16"/>
        </w:rPr>
        <w:br/>
        <w:t xml:space="preserve">                             period. State whether they reconcile and by how much.</w:t>
      </w:r>
      <w:r>
        <w:rPr>
          <w:rFonts w:ascii="Courier New" w:cs="Courier New" w:eastAsia="Courier New" w:hAnsi="Courier New"/>
          <w:sz w:val="16"/>
          <w:szCs w:val="16"/>
        </w:rPr>
        <w:br/>
        <w:t xml:space="preserve">     Scheme nudge          - the 219 nudges broken down by quarter and by scheme, plus</w:t>
      </w:r>
      <w:r>
        <w:rPr>
          <w:rFonts w:ascii="Courier New" w:cs="Courier New" w:eastAsia="Courier New" w:hAnsi="Courier New"/>
          <w:sz w:val="16"/>
          <w:szCs w:val="16"/>
        </w:rPr>
        <w:br/>
        <w:t xml:space="preserve">                             totalOpportunity and totalSchemeCost as rupee figures.</w:t>
      </w:r>
      <w:r>
        <w:rPr>
          <w:rFonts w:ascii="Courier New" w:cs="Courier New" w:eastAsia="Courier New" w:hAnsi="Courier New"/>
          <w:sz w:val="16"/>
          <w:szCs w:val="16"/>
        </w:rPr>
        <w:br/>
        <w:t xml:space="preserve">     Scheme eligibility    - PROVE the empty result. Report how many scheme</w:t>
      </w:r>
      <w:r>
        <w:rPr>
          <w:rFonts w:ascii="Courier New" w:cs="Courier New" w:eastAsia="Courier New" w:hAnsi="Courier New"/>
          <w:sz w:val="16"/>
          <w:szCs w:val="16"/>
        </w:rPr>
        <w:br/>
        <w:t xml:space="preserve">                             definitions exist for FY2026-27 at all, and for this head.</w:t>
      </w:r>
      <w:r>
        <w:rPr>
          <w:rFonts w:ascii="Courier New" w:cs="Courier New" w:eastAsia="Courier New" w:hAnsi="Courier New"/>
          <w:sz w:val="16"/>
          <w:szCs w:val="16"/>
        </w:rPr>
        <w:br/>
        <w:t xml:space="preserve">                             If zero definitions exist, the empty set is correct and</w:t>
      </w:r>
      <w:r>
        <w:rPr>
          <w:rFonts w:ascii="Courier New" w:cs="Courier New" w:eastAsia="Courier New" w:hAnsi="Courier New"/>
          <w:sz w:val="16"/>
          <w:szCs w:val="16"/>
        </w:rPr>
        <w:br/>
        <w:t xml:space="preserve">                             says so. If definitions exist and none match, that is a</w:t>
      </w:r>
      <w:r>
        <w:rPr>
          <w:rFonts w:ascii="Courier New" w:cs="Courier New" w:eastAsia="Courier New" w:hAnsi="Courier New"/>
          <w:sz w:val="16"/>
          <w:szCs w:val="16"/>
        </w:rPr>
        <w:br/>
        <w:t xml:space="preserve">                             filter fault, not a business state.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3. THE STARTUP CHECK. O1-F step 5 asked for a boot-time check that every database</w:t>
      </w:r>
      <w:r>
        <w:rPr>
          <w:rFonts w:ascii="Courier New" w:cs="Courier New" w:eastAsia="Courier New" w:hAnsi="Courier New"/>
          <w:sz w:val="16"/>
          <w:szCs w:val="16"/>
        </w:rPr>
        <w:br/>
        <w:t xml:space="preserve">   object the code depends on actually exists, failing loudly by name if one is</w:t>
      </w:r>
      <w:r>
        <w:rPr>
          <w:rFonts w:ascii="Courier New" w:cs="Courier New" w:eastAsia="Courier New" w:hAnsi="Courier New"/>
          <w:sz w:val="16"/>
          <w:szCs w:val="16"/>
        </w:rPr>
        <w:br/>
        <w:t xml:space="preserve">   missing. It was not reported. Implement it, and DEMONSTRATE it by dropping</w:t>
      </w:r>
      <w:r>
        <w:rPr>
          <w:rFonts w:ascii="Courier New" w:cs="Courier New" w:eastAsia="Courier New" w:hAnsi="Courier New"/>
          <w:sz w:val="16"/>
          <w:szCs w:val="16"/>
        </w:rPr>
        <w:br/>
        <w:t xml:space="preserve">   sale_line_current in a scratch or test database and showing the named failure.</w:t>
      </w:r>
      <w:r>
        <w:rPr>
          <w:rFonts w:ascii="Courier New" w:cs="Courier New" w:eastAsia="Courier New" w:hAnsi="Courier New"/>
          <w:sz w:val="16"/>
          <w:szCs w:val="16"/>
        </w:rPr>
        <w:br/>
        <w:t xml:space="preserve">   Do not drop it in production.</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4. BOOKING-VS-SALE. GET /api/orders/booking-vs-sale could not be tested because the</w:t>
      </w:r>
      <w:r>
        <w:rPr>
          <w:rFonts w:ascii="Courier New" w:cs="Courier New" w:eastAsia="Courier New" w:hAnsi="Courier New"/>
          <w:sz w:val="16"/>
          <w:szCs w:val="16"/>
        </w:rPr>
        <w:br/>
        <w:t xml:space="preserve">   Sheets read times out. The DB side is proven by direct query, but the route itself</w:t>
      </w:r>
      <w:r>
        <w:rPr>
          <w:rFonts w:ascii="Courier New" w:cs="Courier New" w:eastAsia="Courier New" w:hAnsi="Courier New"/>
          <w:sz w:val="16"/>
          <w:szCs w:val="16"/>
        </w:rPr>
        <w:br/>
        <w:t xml:space="preserve">   is unverified. Either raise the timeout, cache the Sheets read, or test the route</w:t>
      </w:r>
      <w:r>
        <w:rPr>
          <w:rFonts w:ascii="Courier New" w:cs="Courier New" w:eastAsia="Courier New" w:hAnsi="Courier New"/>
          <w:sz w:val="16"/>
          <w:szCs w:val="16"/>
        </w:rPr>
        <w:br/>
        <w:t xml:space="preserve">   with the Sheets call stubbed - and report the sale-side total the route actually</w:t>
      </w:r>
      <w:r>
        <w:rPr>
          <w:rFonts w:ascii="Courier New" w:cs="Courier New" w:eastAsia="Courier New" w:hAnsi="Courier New"/>
          <w:sz w:val="16"/>
          <w:szCs w:val="16"/>
        </w:rPr>
        <w:br/>
        <w:t xml:space="preserve">   returns. A fix proven only by a direct query is not a fix proven in the route.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5. CONFIRM THE MONTH COUNT. Customer performance reported 'CY months: 4' for</w:t>
      </w:r>
      <w:r>
        <w:rPr>
          <w:rFonts w:ascii="Courier New" w:cs="Courier New" w:eastAsia="Courier New" w:hAnsi="Courier New"/>
          <w:sz w:val="16"/>
          <w:szCs w:val="16"/>
        </w:rPr>
        <w:br/>
        <w:t xml:space="preserve">   FY2026-27. Report which four months, and confirm none of them is an empty month</w:t>
      </w:r>
      <w:r>
        <w:rPr>
          <w:rFonts w:ascii="Courier New" w:cs="Courier New" w:eastAsia="Courier New" w:hAnsi="Courier New"/>
          <w:sz w:val="16"/>
          <w:szCs w:val="16"/>
        </w:rPr>
        <w:br/>
        <w:t xml:space="preserve">   being counted because a tab exists rather than because it holds data.</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 - prove each with the computed value, never an assertion of success:</w:t>
      </w:r>
      <w:r>
        <w:rPr>
          <w:rFonts w:ascii="Courier New" w:cs="Courier New" w:eastAsia="Courier New" w:hAnsi="Courier New"/>
          <w:sz w:val="16"/>
          <w:szCs w:val="16"/>
        </w:rPr>
        <w:br/>
        <w:t xml:space="preserve">  the distinct STATE values in the head-filtered result contain only states in that</w:t>
      </w:r>
      <w:r>
        <w:rPr>
          <w:rFonts w:ascii="Courier New" w:cs="Courier New" w:eastAsia="Courier New" w:hAnsi="Courier New"/>
          <w:sz w:val="16"/>
          <w:szCs w:val="16"/>
        </w:rPr>
        <w:br/>
        <w:t xml:space="preserve">    head's territory, and the row count is stated before and after any fix</w:t>
      </w:r>
      <w:r>
        <w:rPr>
          <w:rFonts w:ascii="Courier New" w:cs="Courier New" w:eastAsia="Courier New" w:hAnsi="Courier New"/>
          <w:sz w:val="16"/>
          <w:szCs w:val="16"/>
        </w:rPr>
        <w:br/>
        <w:t xml:space="preserve">  the row count with the head filter differs from the count without it</w:t>
      </w:r>
      <w:r>
        <w:rPr>
          <w:rFonts w:ascii="Courier New" w:cs="Courier New" w:eastAsia="Courier New" w:hAnsi="Courier New"/>
          <w:sz w:val="16"/>
          <w:szCs w:val="16"/>
        </w:rPr>
        <w:br/>
        <w:t xml:space="preserve">  every one of the four features reports real figures, not response keys</w:t>
      </w:r>
      <w:r>
        <w:rPr>
          <w:rFonts w:ascii="Courier New" w:cs="Courier New" w:eastAsia="Courier New" w:hAnsi="Courier New"/>
          <w:sz w:val="16"/>
          <w:szCs w:val="16"/>
        </w:rPr>
        <w:br/>
        <w:t xml:space="preserve">  customer performance valCy for a head reconciles to that head's primary sale total,</w:t>
      </w:r>
      <w:r>
        <w:rPr>
          <w:rFonts w:ascii="Courier New" w:cs="Courier New" w:eastAsia="Courier New" w:hAnsi="Courier New"/>
          <w:sz w:val="16"/>
          <w:szCs w:val="16"/>
        </w:rPr>
        <w:br/>
        <w:t xml:space="preserve">    or the difference is stated and explained</w:t>
      </w:r>
      <w:r>
        <w:rPr>
          <w:rFonts w:ascii="Courier New" w:cs="Courier New" w:eastAsia="Courier New" w:hAnsi="Courier New"/>
          <w:sz w:val="16"/>
          <w:szCs w:val="16"/>
        </w:rPr>
        <w:br/>
        <w:t xml:space="preserve">  the empty scheme result is proven by a count of scheme definitions, not asserted</w:t>
      </w:r>
      <w:r>
        <w:rPr>
          <w:rFonts w:ascii="Courier New" w:cs="Courier New" w:eastAsia="Courier New" w:hAnsi="Courier New"/>
          <w:sz w:val="16"/>
          <w:szCs w:val="16"/>
        </w:rPr>
        <w:br/>
        <w:t xml:space="preserve">  the startup check fails by name when sale_line_current is absent - demonstrated</w:t>
      </w:r>
      <w:r>
        <w:rPr>
          <w:rFonts w:ascii="Courier New" w:cs="Courier New" w:eastAsia="Courier New" w:hAnsi="Courier New"/>
          <w:sz w:val="16"/>
          <w:szCs w:val="16"/>
        </w:rPr>
        <w:br/>
        <w:t xml:space="preserve">  booking-vs-sale returns a sale-side total through the route, and it matches the</w:t>
      </w:r>
      <w:r>
        <w:rPr>
          <w:rFonts w:ascii="Courier New" w:cs="Courier New" w:eastAsia="Courier New" w:hAnsi="Courier New"/>
          <w:sz w:val="16"/>
          <w:szCs w:val="16"/>
        </w:rPr>
        <w:br/>
        <w:t xml:space="preserve">    direct-query figure</w:t>
      </w:r>
      <w:r>
        <w:rPr>
          <w:rFonts w:ascii="Courier New" w:cs="Courier New" w:eastAsia="Courier New" w:hAnsi="Courier New"/>
          <w:sz w:val="16"/>
          <w:szCs w:val="16"/>
        </w:rPr>
        <w:br/>
        <w:t xml:space="preserve">  FY2024-25 stays at Rs 341.14 Cr and FY2025-26 at Rs 359.52 Cr</w:t>
      </w:r>
      <w:r>
        <w:rPr>
          <w:rFonts w:ascii="Courier New" w:cs="Courier New" w:eastAsia="Courier New" w:hAnsi="Courier New"/>
          <w:sz w:val="16"/>
          <w:szCs w:val="16"/>
        </w:rPr>
        <w:br/>
        <w:t xml:space="preserve">  the full test suite passes</w:t>
      </w:r>
    </w:p>
    <w:p>
      <w:pPr>
        <w:pStyle w:val="Heading1"/>
        <w:spacing w:after="110" w:before="250"/>
      </w:pPr>
      <w:r>
        <w:rPr>
          <w:b/>
          <w:bCs/>
        </w:rPr>
        <w:t xml:space="preserve">What to watch</w:t>
      </w:r>
    </w:p>
    <w:p>
      <w:pPr>
        <w:spacing w:after="40"/>
        <w:ind w:left="360"/>
      </w:pPr>
      <w:r>
        <w:t xml:space="preserve">- Item 1d is the cheapest decisive test in this prompt. If the row count is identical with and without the head parameter, the filter is a no-op and every per-head figure from that endpoint is company-wide data wearing a head's name.</w:t>
      </w:r>
    </w:p>
    <w:p>
      <w:pPr>
        <w:spacing w:after="40"/>
        <w:ind w:left="360"/>
      </w:pPr>
      <w:r>
        <w:t xml:space="preserve">- Do not accept 'the sample row was just illustrative'. The question is what the 664 rows contain, not which one was printed.</w:t>
      </w:r>
    </w:p>
    <w:p>
      <w:pPr>
        <w:spacing w:after="40"/>
        <w:ind w:left="360"/>
      </w:pPr>
      <w:r>
        <w:t xml:space="preserve">- For the empty scheme result, insist on the count of scheme definitions. An empty set caused by a broken filter and an empty set caused by no data look identical from the outside, and only one of them is fine.</w:t>
      </w:r>
    </w:p>
    <w:p>
      <w:pPr>
        <w:spacing w:after="40"/>
        <w:ind w:left="360"/>
      </w:pPr>
      <w:r>
        <w:t xml:space="preserve">- The Laspeyres index is the figure most likely to be quietly wrong and least likely to be questioned, because a price index looks authoritative. Ask what base period it uses and check the direction of movement against something known - the sample row showed prices DOWN 2 percent year on year.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O1-G</dc:title>
  <dc:creator>Prayag AI Team</dc:creator>
  <cp:lastModifiedBy>Un-named</cp:lastModifiedBy>
  <cp:revision>1</cp:revision>
  <dcterms:created xsi:type="dcterms:W3CDTF">2026-07-24T11:29:24.584Z</dcterms:created>
  <dcterms:modified xsi:type="dcterms:W3CDTF">2026-07-24T11:29:24.603Z</dcterms:modified>
</cp:coreProperties>
</file>

<file path=docProps/custom.xml><?xml version="1.0" encoding="utf-8"?>
<Properties xmlns="http://schemas.openxmlformats.org/officeDocument/2006/custom-properties" xmlns:vt="http://schemas.openxmlformats.org/officeDocument/2006/docPropsVTypes"/>
</file>