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Prompt O1-E - source the anchor, finish the audit</w:t>
      </w:r>
    </w:p>
    <w:p>
      <w:pPr>
        <w:spacing w:after="150"/>
      </w:pPr>
      <w:r>
        <w:rPr>
          <w:i/>
          <w:iCs/>
          <w:color w:val="555555"/>
        </w:rPr>
        <w:t xml:space="preserve">Diagnosis only. No code, no data, no anchor changes. Last prompt before O2.</w:t>
      </w:r>
    </w:p>
    <w:p>
      <w:pPr>
        <w:pStyle w:val="Heading1"/>
        <w:spacing w:after="110" w:before="250"/>
      </w:pPr>
      <w:r>
        <w:rPr>
          <w:b/>
          <w:bCs/>
        </w:rPr>
        <w:t xml:space="preserve">Where the investigation stands</w:t>
      </w:r>
    </w:p>
    <w:p>
      <w:pPr>
        <w:pStyle w:val="Heading2"/>
        <w:spacing w:after="70" w:before="190"/>
      </w:pPr>
      <w:r>
        <w:rPr>
          <w:b/>
          <w:bCs/>
        </w:rPr>
        <w:t xml:space="preserve">Settled</w:t>
      </w:r>
    </w:p>
    <w:p>
      <w:pPr>
        <w:spacing w:after="40"/>
        <w:ind w:left="360"/>
      </w:pPr>
      <w:r>
        <w:t xml:space="preserve">- FY2024-25 is complete in the register: 141,201 rows, Rs 341.14 Cr, all twelve months, zero non-current rows. The Rs 126.71 Cr on screen came from a stale snapshot computed while the register was partial.</w:t>
      </w:r>
    </w:p>
    <w:p>
      <w:pPr>
        <w:spacing w:after="40"/>
        <w:ind w:left="360"/>
      </w:pPr>
      <w:r>
        <w:t xml:space="preserve">- months[].amount and yoy.overall.current are the SAME number by construction - yoy is summed in TypeScript from months[]. Both return Rs 3,595,213,168. There is no second query and they cannot disagree. The earlier hypothesis that they differed is disproved.</w:t>
      </w:r>
    </w:p>
    <w:p>
      <w:pPr>
        <w:spacing w:after="40"/>
        <w:ind w:left="360"/>
      </w:pPr>
      <w:r>
        <w:t xml:space="preserve">- The Rs 2 difference is per-month rounding: each month is rounded before summing, rather than summed then rounded. Not a missing filter, not a stale row.</w:t>
      </w:r>
    </w:p>
    <w:p>
      <w:pPr>
        <w:spacing w:after="40"/>
        <w:ind w:left="360"/>
      </w:pPr>
      <w:r>
        <w:t xml:space="preserve">- version_status is clean. Only two superseded rows exist for FY2025-26, totalling Rs 25,215 - 0.16 percent of the gap. All six analytics queries filter correctly.</w:t>
      </w:r>
    </w:p>
    <w:p>
      <w:pPr>
        <w:pStyle w:val="Heading2"/>
        <w:spacing w:after="70" w:before="190"/>
      </w:pPr>
      <w:r>
        <w:rPr>
          <w:b/>
          <w:bCs/>
        </w:rPr>
        <w:t xml:space="preserve">Not settled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2%"/>
            <w:tcMar>
              <w:top w:type="dxa" w:w="50"/>
              <w:left w:type="dxa" w:w="80"/>
              <w:bottom w:type="dxa" w:w="50"/>
              <w:right w:type="dxa" w:w="80"/>
            </w:tcMar>
          </w:tcPr>
          <w:p>
            <w:r>
              <w:rPr>
                <w:b/>
                <w:bCs/>
                <w:sz w:val="17"/>
                <w:szCs w:val="17"/>
              </w:rPr>
              <w:t xml:space="preserve">Figure</w:t>
            </w:r>
          </w:p>
        </w:tc>
        <w:tc>
          <w:tcPr>
            <w:tcW w:type="pct" w:w="24%"/>
            <w:tcMar>
              <w:top w:type="dxa" w:w="50"/>
              <w:left w:type="dxa" w:w="80"/>
              <w:bottom w:type="dxa" w:w="50"/>
              <w:right w:type="dxa" w:w="80"/>
            </w:tcMar>
          </w:tcPr>
          <w:p>
            <w:r>
              <w:rPr>
                <w:b/>
                <w:bCs/>
                <w:sz w:val="17"/>
                <w:szCs w:val="17"/>
              </w:rPr>
              <w:t xml:space="preserve">Value</w:t>
            </w:r>
          </w:p>
        </w:tc>
        <w:tc>
          <w:tcPr>
            <w:tcW w:type="pct" w:w="44%"/>
            <w:tcMar>
              <w:top w:type="dxa" w:w="50"/>
              <w:left w:type="dxa" w:w="80"/>
              <w:bottom w:type="dxa" w:w="50"/>
              <w:right w:type="dxa" w:w="80"/>
            </w:tcMar>
          </w:tcPr>
          <w:p>
            <w:r>
              <w:rPr>
                <w:b/>
                <w:bCs/>
                <w:sz w:val="17"/>
                <w:szCs w:val="17"/>
              </w:rPr>
              <w:t xml:space="preserve">Status</w:t>
            </w:r>
          </w:p>
        </w:tc>
      </w:tr>
      <w:tr>
        <w:trPr>
          <w:tblHeader w:val="false"/>
        </w:trPr>
        <w:tc>
          <w:tcPr>
            <w:tcW w:type="pct" w:w="32%"/>
            <w:tcMar>
              <w:top w:type="dxa" w:w="50"/>
              <w:left w:type="dxa" w:w="80"/>
              <w:bottom w:type="dxa" w:w="50"/>
              <w:right w:type="dxa" w:w="80"/>
            </w:tcMar>
          </w:tcPr>
          <w:p>
            <w:r>
              <w:rPr>
                <w:b w:val="false"/>
                <w:bCs w:val="false"/>
                <w:sz w:val="17"/>
                <w:szCs w:val="17"/>
              </w:rPr>
              <w:t xml:space="preserve">Anchor, verify_anchors.json</w:t>
            </w:r>
          </w:p>
        </w:tc>
        <w:tc>
          <w:tcPr>
            <w:tcW w:type="pct" w:w="24%"/>
            <w:tcMar>
              <w:top w:type="dxa" w:w="50"/>
              <w:left w:type="dxa" w:w="80"/>
              <w:bottom w:type="dxa" w:w="50"/>
              <w:right w:type="dxa" w:w="80"/>
            </w:tcMar>
          </w:tcPr>
          <w:p>
            <w:r>
              <w:rPr>
                <w:b w:val="false"/>
                <w:bCs w:val="false"/>
                <w:sz w:val="17"/>
                <w:szCs w:val="17"/>
              </w:rPr>
              <w:t xml:space="preserve">Rs 3,611,400,000</w:t>
            </w:r>
          </w:p>
        </w:tc>
        <w:tc>
          <w:tcPr>
            <w:tcW w:type="pct" w:w="44%"/>
            <w:tcMar>
              <w:top w:type="dxa" w:w="50"/>
              <w:left w:type="dxa" w:w="80"/>
              <w:bottom w:type="dxa" w:w="50"/>
              <w:right w:type="dxa" w:w="80"/>
            </w:tcMar>
          </w:tcPr>
          <w:p>
            <w:r>
              <w:rPr>
                <w:b w:val="false"/>
                <w:bCs w:val="false"/>
                <w:sz w:val="17"/>
                <w:szCs w:val="17"/>
              </w:rPr>
              <w:t xml:space="preserve">Matches nothing. Provenance undocumented.</w:t>
            </w:r>
          </w:p>
        </w:tc>
      </w:tr>
      <w:tr>
        <w:trPr>
          <w:tblHeader w:val="false"/>
        </w:trPr>
        <w:tc>
          <w:tcPr>
            <w:tcW w:type="pct" w:w="32%"/>
            <w:tcMar>
              <w:top w:type="dxa" w:w="50"/>
              <w:left w:type="dxa" w:w="80"/>
              <w:bottom w:type="dxa" w:w="50"/>
              <w:right w:type="dxa" w:w="80"/>
            </w:tcMar>
          </w:tcPr>
          <w:p>
            <w:r>
              <w:rPr>
                <w:b w:val="false"/>
                <w:bCs w:val="false"/>
                <w:sz w:val="17"/>
                <w:szCs w:val="17"/>
              </w:rPr>
              <w:t xml:space="preserve">Endpoint (months[] = yoy)</w:t>
            </w:r>
          </w:p>
        </w:tc>
        <w:tc>
          <w:tcPr>
            <w:tcW w:type="pct" w:w="24%"/>
            <w:tcMar>
              <w:top w:type="dxa" w:w="50"/>
              <w:left w:type="dxa" w:w="80"/>
              <w:bottom w:type="dxa" w:w="50"/>
              <w:right w:type="dxa" w:w="80"/>
            </w:tcMar>
          </w:tcPr>
          <w:p>
            <w:r>
              <w:rPr>
                <w:b w:val="false"/>
                <w:bCs w:val="false"/>
                <w:sz w:val="17"/>
                <w:szCs w:val="17"/>
              </w:rPr>
              <w:t xml:space="preserve">Rs 3,595,213,168</w:t>
            </w:r>
          </w:p>
        </w:tc>
        <w:tc>
          <w:tcPr>
            <w:tcW w:type="pct" w:w="44%"/>
            <w:tcMar>
              <w:top w:type="dxa" w:w="50"/>
              <w:left w:type="dxa" w:w="80"/>
              <w:bottom w:type="dxa" w:w="50"/>
              <w:right w:type="dxa" w:w="80"/>
            </w:tcMar>
          </w:tcPr>
          <w:p>
            <w:r>
              <w:rPr>
                <w:b w:val="false"/>
                <w:bCs w:val="false"/>
                <w:sz w:val="17"/>
                <w:szCs w:val="17"/>
              </w:rPr>
              <w:t xml:space="preserve">Derived from the register</w:t>
            </w:r>
          </w:p>
        </w:tc>
      </w:tr>
      <w:tr>
        <w:trPr>
          <w:tblHeader w:val="false"/>
        </w:trPr>
        <w:tc>
          <w:tcPr>
            <w:tcW w:type="pct" w:w="32%"/>
            <w:tcMar>
              <w:top w:type="dxa" w:w="50"/>
              <w:left w:type="dxa" w:w="80"/>
              <w:bottom w:type="dxa" w:w="50"/>
              <w:right w:type="dxa" w:w="80"/>
            </w:tcMar>
          </w:tcPr>
          <w:p>
            <w:r>
              <w:rPr>
                <w:b w:val="false"/>
                <w:bCs w:val="false"/>
                <w:sz w:val="17"/>
                <w:szCs w:val="17"/>
              </w:rPr>
              <w:t xml:space="preserve">Register, bigint cast</w:t>
            </w:r>
          </w:p>
        </w:tc>
        <w:tc>
          <w:tcPr>
            <w:tcW w:type="pct" w:w="24%"/>
            <w:tcMar>
              <w:top w:type="dxa" w:w="50"/>
              <w:left w:type="dxa" w:w="80"/>
              <w:bottom w:type="dxa" w:w="50"/>
              <w:right w:type="dxa" w:w="80"/>
            </w:tcMar>
          </w:tcPr>
          <w:p>
            <w:r>
              <w:rPr>
                <w:b w:val="false"/>
                <w:bCs w:val="false"/>
                <w:sz w:val="17"/>
                <w:szCs w:val="17"/>
              </w:rPr>
              <w:t xml:space="preserve">Rs 3,595,213,170</w:t>
            </w:r>
          </w:p>
        </w:tc>
        <w:tc>
          <w:tcPr>
            <w:tcW w:type="pct" w:w="44%"/>
            <w:tcMar>
              <w:top w:type="dxa" w:w="50"/>
              <w:left w:type="dxa" w:w="80"/>
              <w:bottom w:type="dxa" w:w="50"/>
              <w:right w:type="dxa" w:w="80"/>
            </w:tcMar>
          </w:tcPr>
          <w:p>
            <w:r>
              <w:rPr>
                <w:b w:val="false"/>
                <w:bCs w:val="false"/>
                <w:sz w:val="17"/>
                <w:szCs w:val="17"/>
              </w:rPr>
              <w:t xml:space="preserve">Derived from the register</w:t>
            </w:r>
          </w:p>
        </w:tc>
      </w:tr>
      <w:tr>
        <w:trPr>
          <w:tblHeader w:val="false"/>
        </w:trPr>
        <w:tc>
          <w:tcPr>
            <w:tcW w:type="pct" w:w="32%"/>
            <w:tcMar>
              <w:top w:type="dxa" w:w="50"/>
              <w:left w:type="dxa" w:w="80"/>
              <w:bottom w:type="dxa" w:w="50"/>
              <w:right w:type="dxa" w:w="80"/>
            </w:tcMar>
          </w:tcPr>
          <w:p>
            <w:r>
              <w:rPr>
                <w:b w:val="false"/>
                <w:bCs w:val="false"/>
                <w:sz w:val="17"/>
                <w:szCs w:val="17"/>
              </w:rPr>
              <w:t xml:space="preserve">Unexplained difference</w:t>
            </w:r>
          </w:p>
        </w:tc>
        <w:tc>
          <w:tcPr>
            <w:tcW w:type="pct" w:w="24%"/>
            <w:tcMar>
              <w:top w:type="dxa" w:w="50"/>
              <w:left w:type="dxa" w:w="80"/>
              <w:bottom w:type="dxa" w:w="50"/>
              <w:right w:type="dxa" w:w="80"/>
            </w:tcMar>
          </w:tcPr>
          <w:p>
            <w:r>
              <w:rPr>
                <w:b w:val="false"/>
                <w:bCs w:val="false"/>
                <w:sz w:val="17"/>
                <w:szCs w:val="17"/>
              </w:rPr>
              <w:t xml:space="preserve">Rs 1,61,86,832</w:t>
            </w:r>
          </w:p>
        </w:tc>
        <w:tc>
          <w:tcPr>
            <w:tcW w:type="pct" w:w="44%"/>
            <w:tcMar>
              <w:top w:type="dxa" w:w="50"/>
              <w:left w:type="dxa" w:w="80"/>
              <w:bottom w:type="dxa" w:w="50"/>
              <w:right w:type="dxa" w:w="80"/>
            </w:tcMar>
          </w:tcPr>
          <w:p>
            <w:r>
              <w:rPr>
                <w:b w:val="false"/>
                <w:bCs w:val="false"/>
                <w:sz w:val="17"/>
                <w:szCs w:val="17"/>
              </w:rPr>
              <w:t xml:space="preserve">0.45 percent - still unexplained</w:t>
            </w:r>
          </w:p>
        </w:tc>
      </w:tr>
    </w:tbl>
    <w:p>
      <w:pPr>
        <w:spacing w:after="100"/>
      </w:pPr>
      <w:r>
        <w:t xml:space="preserve">The anchor is genuinely external. There is one obvious candidate for its source, and it is testable.</w:t>
      </w:r>
    </w:p>
    <w:p>
      <w:pPr>
        <w:pStyle w:val="Heading1"/>
        <w:spacing w:after="110" w:before="250"/>
      </w:pPr>
      <w:r>
        <w:rPr>
          <w:b/>
          <w:bCs/>
        </w:rPr>
        <w:t xml:space="preserve">Prompt O1-E</w:t>
      </w:r>
    </w:p>
    <w:p>
      <w:pPr>
        <w:spacing w:after="20" w:before="100"/>
      </w:pPr>
      <w:r>
        <w:rPr>
          <w:b/>
          <w:bCs/>
          <w:i/>
          <w:iCs/>
          <w:color w:val="444444"/>
        </w:rPr>
        <w:t xml:space="preserve">PROMPT - O1-E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correction O1-E. Same global rules as every earlier phase. THIS PROMPT</w:t>
      </w:r>
      <w:r>
        <w:rPr>
          <w:rFonts w:ascii="Courier New" w:cs="Courier New" w:eastAsia="Courier New" w:hAnsi="Courier New"/>
          <w:sz w:val="16"/>
          <w:szCs w:val="16"/>
        </w:rPr>
        <w:br/>
        <w:t xml:space="preserve">CHANGES NO CODE, NO DATA AND NO ANCHOR VALUES. Report only. Send before O2.</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Four of these items were asked in O1-D and not answered. Item 1 is new and is the</w:t>
      </w:r>
      <w:r>
        <w:rPr>
          <w:rFonts w:ascii="Courier New" w:cs="Courier New" w:eastAsia="Courier New" w:hAnsi="Courier New"/>
          <w:sz w:val="16"/>
          <w:szCs w:val="16"/>
        </w:rPr>
        <w:br/>
        <w:t xml:space="preserve">decisive test.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TOTAL THE LIKELY ANCHOR SOURCE. The file below is invoice-line level and carries</w:t>
      </w:r>
      <w:r>
        <w:rPr>
          <w:rFonts w:ascii="Courier New" w:cs="Courier New" w:eastAsia="Courier New" w:hAnsi="Courier New"/>
          <w:sz w:val="16"/>
          <w:szCs w:val="16"/>
        </w:rPr>
        <w:br/>
        <w:t xml:space="preserve">   an FY tag on every row. It is what Data Health check C2 compares the anchor</w:t>
      </w:r>
      <w:r>
        <w:rPr>
          <w:rFonts w:ascii="Courier New" w:cs="Courier New" w:eastAsia="Courier New" w:hAnsi="Courier New"/>
          <w:sz w:val="16"/>
          <w:szCs w:val="16"/>
        </w:rPr>
        <w:br/>
        <w:t xml:space="preserve">   against.</w:t>
      </w:r>
      <w:r>
        <w:rPr>
          <w:rFonts w:ascii="Courier New" w:cs="Courier New" w:eastAsia="Courier New" w:hAnsi="Courier New"/>
          <w:sz w:val="16"/>
          <w:szCs w:val="16"/>
        </w:rPr>
        <w:br/>
        <w:t xml:space="preserve">     file id : 1QIpcfgOVCFjcCmgU_DXKn8h7Bfa8rm2q2wB2HneTvKs</w:t>
      </w:r>
      <w:r>
        <w:rPr>
          <w:rFonts w:ascii="Courier New" w:cs="Courier New" w:eastAsia="Courier New" w:hAnsi="Courier New"/>
          <w:sz w:val="16"/>
          <w:szCs w:val="16"/>
        </w:rPr>
        <w:br/>
        <w:t xml:space="preserve">     title   : State Head Sale 2026-27      tab: Sheet1</w:t>
      </w:r>
      <w:r>
        <w:rPr>
          <w:rFonts w:ascii="Courier New" w:cs="Courier New" w:eastAsia="Courier New" w:hAnsi="Courier New"/>
          <w:sz w:val="16"/>
          <w:szCs w:val="16"/>
        </w:rPr>
        <w:br/>
        <w:t xml:space="preserve">     columns : INVOICE NO, DATE, CUSTOMER, CODE, M0NTH, QTY, SALE RATE, AMOUNT,</w:t>
      </w:r>
      <w:r>
        <w:rPr>
          <w:rFonts w:ascii="Courier New" w:cs="Courier New" w:eastAsia="Courier New" w:hAnsi="Courier New"/>
          <w:sz w:val="16"/>
          <w:szCs w:val="16"/>
        </w:rPr>
        <w:br/>
        <w:t xml:space="preserve">               GROUP, STATION, STATE, STATE HEAD A, TYPE, and a trailing FY tag</w:t>
      </w:r>
      <w:r>
        <w:rPr>
          <w:rFonts w:ascii="Courier New" w:cs="Courier New" w:eastAsia="Courier New" w:hAnsi="Courier New"/>
          <w:sz w:val="16"/>
          <w:szCs w:val="16"/>
        </w:rPr>
        <w:br/>
        <w:t xml:space="preserve">   Report:</w:t>
      </w:r>
      <w:r>
        <w:rPr>
          <w:rFonts w:ascii="Courier New" w:cs="Courier New" w:eastAsia="Courier New" w:hAnsi="Courier New"/>
          <w:sz w:val="16"/>
          <w:szCs w:val="16"/>
        </w:rPr>
        <w:br/>
        <w:t xml:space="preserve">     a) row count and SUM of AMOUNT where the FY tag is FY-2025-26</w:t>
      </w:r>
      <w:r>
        <w:rPr>
          <w:rFonts w:ascii="Courier New" w:cs="Courier New" w:eastAsia="Courier New" w:hAnsi="Courier New"/>
          <w:sz w:val="16"/>
          <w:szCs w:val="16"/>
        </w:rPr>
        <w:br/>
        <w:t xml:space="preserve">     b) the same for FY-2026-27 if those rows are present (it is a two-year file)</w:t>
      </w:r>
      <w:r>
        <w:rPr>
          <w:rFonts w:ascii="Courier New" w:cs="Courier New" w:eastAsia="Courier New" w:hAnsi="Courier New"/>
          <w:sz w:val="16"/>
          <w:szCs w:val="16"/>
        </w:rPr>
        <w:br/>
        <w:t xml:space="preserve">     c) whether (a) equals 3,611,400,000 exactly, and if not, the difference</w:t>
      </w:r>
      <w:r>
        <w:rPr>
          <w:rFonts w:ascii="Courier New" w:cs="Courier New" w:eastAsia="Courier New" w:hAnsi="Courier New"/>
          <w:sz w:val="16"/>
          <w:szCs w:val="16"/>
        </w:rPr>
        <w:br/>
        <w:t xml:space="preserve">     d) the file's last-modified timestamp</w:t>
      </w:r>
      <w:r>
        <w:rPr>
          <w:rFonts w:ascii="Courier New" w:cs="Courier New" w:eastAsia="Courier New" w:hAnsi="Courier New"/>
          <w:sz w:val="16"/>
          <w:szCs w:val="16"/>
        </w:rPr>
        <w:br/>
        <w:t xml:space="preserve">   Note: the month header is spelled M0NTH with a ZERO, not a letter O. Match on it</w:t>
      </w:r>
      <w:r>
        <w:rPr>
          <w:rFonts w:ascii="Courier New" w:cs="Courier New" w:eastAsia="Courier New" w:hAnsi="Courier New"/>
          <w:sz w:val="16"/>
          <w:szCs w:val="16"/>
        </w:rPr>
        <w:br/>
        <w:t xml:space="preserve">   literally or by position; a match on 'MONTH' will silently find nothing.</w:t>
      </w:r>
      <w:r>
        <w:rPr>
          <w:rFonts w:ascii="Courier New" w:cs="Courier New" w:eastAsia="Courier New" w:hAnsi="Courier New"/>
          <w:sz w:val="16"/>
          <w:szCs w:val="16"/>
        </w:rPr>
        <w:br/>
        <w:t xml:space="preserve">   This file exceeds the Drive connector's export limit, so it must be read through</w:t>
      </w:r>
      <w:r>
        <w:rPr>
          <w:rFonts w:ascii="Courier New" w:cs="Courier New" w:eastAsia="Courier New" w:hAnsi="Courier New"/>
          <w:sz w:val="16"/>
          <w:szCs w:val="16"/>
        </w:rPr>
        <w:br/>
        <w:t xml:space="preserve">   the app's own Sheets access, not exported.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TRACE THE ANCHOR. For config/verify_anchors.json, primary_anchors['2025-26'].total</w:t>
      </w:r>
      <w:r>
        <w:rPr>
          <w:rFonts w:ascii="Courier New" w:cs="Courier New" w:eastAsia="Courier New" w:hAnsi="Courier New"/>
          <w:sz w:val="16"/>
          <w:szCs w:val="16"/>
        </w:rPr>
        <w:br/>
        <w:t xml:space="preserve">   = 3611400000, report the commit that introduced it, its date, its message, and any</w:t>
      </w:r>
      <w:r>
        <w:rPr>
          <w:rFonts w:ascii="Courier New" w:cs="Courier New" w:eastAsia="Courier New" w:hAnsi="Courier New"/>
          <w:sz w:val="16"/>
          <w:szCs w:val="16"/>
        </w:rPr>
        <w:br/>
        <w:t xml:space="preserve">   comment or document recording where the value came from. If the provenance cannot</w:t>
      </w:r>
      <w:r>
        <w:rPr>
          <w:rFonts w:ascii="Courier New" w:cs="Courier New" w:eastAsia="Courier New" w:hAnsi="Courier New"/>
          <w:sz w:val="16"/>
          <w:szCs w:val="16"/>
        </w:rPr>
        <w:br/>
        <w:t xml:space="preserve">   be established from the repository, say so plainly.</w:t>
      </w:r>
      <w:r>
        <w:rPr>
          <w:rFonts w:ascii="Courier New" w:cs="Courier New" w:eastAsia="Courier New" w:hAnsi="Courier New"/>
          <w:sz w:val="16"/>
          <w:szCs w:val="16"/>
        </w:rPr>
        <w:br/>
        <w:t xml:space="preserve">   Then state whether the anchor's commit date PRECEDES the last-modified date of the</w:t>
      </w:r>
      <w:r>
        <w:rPr>
          <w:rFonts w:ascii="Courier New" w:cs="Courier New" w:eastAsia="Courier New" w:hAnsi="Courier New"/>
          <w:sz w:val="16"/>
          <w:szCs w:val="16"/>
        </w:rPr>
        <w:br/>
        <w:t xml:space="preserve">   file in item 1. If the anchor was taken from a sheet that has been edited since,</w:t>
      </w:r>
      <w:r>
        <w:rPr>
          <w:rFonts w:ascii="Courier New" w:cs="Courier New" w:eastAsia="Courier New" w:hAnsi="Courier New"/>
          <w:sz w:val="16"/>
          <w:szCs w:val="16"/>
        </w:rPr>
        <w:br/>
        <w:t xml:space="preserve">   the difference is drift from a moving source rather than missing data - and that</w:t>
      </w:r>
      <w:r>
        <w:rPr>
          <w:rFonts w:ascii="Courier New" w:cs="Courier New" w:eastAsia="Courier New" w:hAnsi="Courier New"/>
          <w:sz w:val="16"/>
          <w:szCs w:val="16"/>
        </w:rPr>
        <w:br/>
        <w:t xml:space="preserve">   distinction determines the fix.</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COMPLETE THE CONSUMER TABLE. The O1-C table was truncated after analytics.ts and</w:t>
      </w:r>
      <w:r>
        <w:rPr>
          <w:rFonts w:ascii="Courier New" w:cs="Courier New" w:eastAsia="Courier New" w:hAnsi="Courier New"/>
          <w:sz w:val="16"/>
          <w:szCs w:val="16"/>
        </w:rPr>
        <w:br/>
        <w:t xml:space="preserve">   verify.ts, at lib/mgmt/salesRe... . List EVERY file that queries sale_line - route,</w:t>
      </w:r>
      <w:r>
        <w:rPr>
          <w:rFonts w:ascii="Courier New" w:cs="Courier New" w:eastAsia="Courier New" w:hAnsi="Courier New"/>
          <w:sz w:val="16"/>
          <w:szCs w:val="16"/>
        </w:rPr>
        <w:br/>
        <w:t xml:space="preserve">   service, job, report or script - and for each state whether it filters fy and</w:t>
      </w:r>
      <w:r>
        <w:rPr>
          <w:rFonts w:ascii="Courier New" w:cs="Courier New" w:eastAsia="Courier New" w:hAnsi="Courier New"/>
          <w:sz w:val="16"/>
          <w:szCs w:val="16"/>
        </w:rPr>
        <w:br/>
        <w:t xml:space="preserve">   whether it filters version_status. No omissions, no truncation.</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4. THE Rs 58,78,112 FY2024-25 ROWS. The SALE tab reports Rs 341.73 Cr and the register</w:t>
      </w:r>
      <w:r>
        <w:rPr>
          <w:rFonts w:ascii="Courier New" w:cs="Courier New" w:eastAsia="Courier New" w:hAnsi="Courier New"/>
          <w:sz w:val="16"/>
          <w:szCs w:val="16"/>
        </w:rPr>
        <w:br/>
        <w:t xml:space="preserve">   Rs 341.14 Cr. Identify the rows the tab holds that the register does not: how many,</w:t>
      </w:r>
      <w:r>
        <w:rPr>
          <w:rFonts w:ascii="Courier New" w:cs="Courier New" w:eastAsia="Courier New" w:hAnsi="Courier New"/>
          <w:sz w:val="16"/>
          <w:szCs w:val="16"/>
        </w:rPr>
        <w:br/>
        <w:t xml:space="preserve">   which months, which product groups, which plants. If they cannot be identified,</w:t>
      </w:r>
      <w:r>
        <w:rPr>
          <w:rFonts w:ascii="Courier New" w:cs="Courier New" w:eastAsia="Courier New" w:hAnsi="Courier New"/>
          <w:sz w:val="16"/>
          <w:szCs w:val="16"/>
        </w:rPr>
        <w:br/>
        <w:t xml:space="preserve">   state that plainly rather than repeating the assertion that the tab includes rows</w:t>
      </w:r>
      <w:r>
        <w:rPr>
          <w:rFonts w:ascii="Courier New" w:cs="Courier New" w:eastAsia="Courier New" w:hAnsi="Courier New"/>
          <w:sz w:val="16"/>
          <w:szCs w:val="16"/>
        </w:rPr>
        <w:br/>
        <w:t xml:space="preserve">   the register does not.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5. THE ROUNDING CONVENTION. Per-month rounding means the endpoint total will always</w:t>
      </w:r>
      <w:r>
        <w:rPr>
          <w:rFonts w:ascii="Courier New" w:cs="Courier New" w:eastAsia="Courier New" w:hAnsi="Courier New"/>
          <w:sz w:val="16"/>
          <w:szCs w:val="16"/>
        </w:rPr>
        <w:br/>
        <w:t xml:space="preserve">   sit slightly below the register total, and the drift grows with row count. Report</w:t>
      </w:r>
      <w:r>
        <w:rPr>
          <w:rFonts w:ascii="Courier New" w:cs="Courier New" w:eastAsia="Courier New" w:hAnsi="Courier New"/>
          <w:sz w:val="16"/>
          <w:szCs w:val="16"/>
        </w:rPr>
        <w:br/>
        <w:t xml:space="preserve">   every reconciliation or Data Health check that compares an endpoint total against a</w:t>
      </w:r>
      <w:r>
        <w:rPr>
          <w:rFonts w:ascii="Courier New" w:cs="Courier New" w:eastAsia="Courier New" w:hAnsi="Courier New"/>
          <w:sz w:val="16"/>
          <w:szCs w:val="16"/>
        </w:rPr>
        <w:br/>
        <w:t xml:space="preserve">   database total, and the tolerance each uses. Any such check at zero tolerance will</w:t>
      </w:r>
      <w:r>
        <w:rPr>
          <w:rFonts w:ascii="Courier New" w:cs="Courier New" w:eastAsia="Courier New" w:hAnsi="Courier New"/>
          <w:sz w:val="16"/>
          <w:szCs w:val="16"/>
        </w:rPr>
        <w:br/>
        <w:t xml:space="preserve">   fail spuriously. Report only - do not change tolerances in this prompt.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Reporting rules:</w:t>
      </w:r>
      <w:r>
        <w:rPr>
          <w:rFonts w:ascii="Courier New" w:cs="Courier New" w:eastAsia="Courier New" w:hAnsi="Courier New"/>
          <w:sz w:val="16"/>
          <w:szCs w:val="16"/>
        </w:rPr>
        <w:br/>
        <w:t xml:space="preserve">  - Do not narrow any gap by adjusting a query until figures agree.</w:t>
      </w:r>
      <w:r>
        <w:rPr>
          <w:rFonts w:ascii="Courier New" w:cs="Courier New" w:eastAsia="Courier New" w:hAnsi="Courier New"/>
          <w:sz w:val="16"/>
          <w:szCs w:val="16"/>
        </w:rPr>
        <w:br/>
        <w:t xml:space="preserve">  - Do not invoke a materiality threshold in place of an explanation.</w:t>
      </w:r>
      <w:r>
        <w:rPr>
          <w:rFonts w:ascii="Courier New" w:cs="Courier New" w:eastAsia="Courier New" w:hAnsi="Courier New"/>
          <w:sz w:val="16"/>
          <w:szCs w:val="16"/>
        </w:rPr>
        <w:br/>
        <w:t xml:space="preserve">  - Where something cannot be determined, say so rather than inferring it.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w:t>
      </w:r>
      <w:r>
        <w:rPr>
          <w:rFonts w:ascii="Courier New" w:cs="Courier New" w:eastAsia="Courier New" w:hAnsi="Courier New"/>
          <w:sz w:val="16"/>
          <w:szCs w:val="16"/>
        </w:rPr>
        <w:br/>
        <w:t xml:space="preserve">  the FY-2025-26 total from the State Head Sale file is reported with its row count</w:t>
      </w:r>
      <w:r>
        <w:rPr>
          <w:rFonts w:ascii="Courier New" w:cs="Courier New" w:eastAsia="Courier New" w:hAnsi="Courier New"/>
          <w:sz w:val="16"/>
          <w:szCs w:val="16"/>
        </w:rPr>
        <w:br/>
        <w:t xml:space="preserve">  it is stated explicitly whether that total equals 3,611,400,000</w:t>
      </w:r>
      <w:r>
        <w:rPr>
          <w:rFonts w:ascii="Courier New" w:cs="Courier New" w:eastAsia="Courier New" w:hAnsi="Courier New"/>
          <w:sz w:val="16"/>
          <w:szCs w:val="16"/>
        </w:rPr>
        <w:br/>
        <w:t xml:space="preserve">  the anchor's commit and date are reported, or declared untraceable</w:t>
      </w:r>
      <w:r>
        <w:rPr>
          <w:rFonts w:ascii="Courier New" w:cs="Courier New" w:eastAsia="Courier New" w:hAnsi="Courier New"/>
          <w:sz w:val="16"/>
          <w:szCs w:val="16"/>
        </w:rPr>
        <w:br/>
        <w:t xml:space="preserve">  the anchor commit date is compared against the source file's modified date</w:t>
      </w:r>
      <w:r>
        <w:rPr>
          <w:rFonts w:ascii="Courier New" w:cs="Courier New" w:eastAsia="Courier New" w:hAnsi="Courier New"/>
          <w:sz w:val="16"/>
          <w:szCs w:val="16"/>
        </w:rPr>
        <w:br/>
        <w:t xml:space="preserve">  the consumer table is complete with no entry truncated</w:t>
      </w:r>
      <w:r>
        <w:rPr>
          <w:rFonts w:ascii="Courier New" w:cs="Courier New" w:eastAsia="Courier New" w:hAnsi="Courier New"/>
          <w:sz w:val="16"/>
          <w:szCs w:val="16"/>
        </w:rPr>
        <w:br/>
        <w:t xml:space="preserve">  the Rs 58,78,112 rows are identified, or declared unidentifiable</w:t>
      </w:r>
      <w:r>
        <w:rPr>
          <w:rFonts w:ascii="Courier New" w:cs="Courier New" w:eastAsia="Courier New" w:hAnsi="Courier New"/>
          <w:sz w:val="16"/>
          <w:szCs w:val="16"/>
        </w:rPr>
        <w:br/>
        <w:t xml:space="preserve">  every endpoint-versus-database check is listed with its tolerance</w:t>
      </w:r>
      <w:r>
        <w:rPr>
          <w:rFonts w:ascii="Courier New" w:cs="Courier New" w:eastAsia="Courier New" w:hAnsi="Courier New"/>
          <w:sz w:val="16"/>
          <w:szCs w:val="16"/>
        </w:rPr>
        <w:br/>
        <w:t xml:space="preserve">  no code, no data and no anchor value was changed</w:t>
      </w:r>
    </w:p>
    <w:p>
      <w:pPr>
        <w:pStyle w:val="Heading1"/>
        <w:spacing w:after="110" w:before="250"/>
      </w:pPr>
      <w:r>
        <w:rPr>
          <w:b/>
          <w:bCs/>
        </w:rPr>
        <w:t xml:space="preserve">What each outcome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Mar>
              <w:top w:type="dxa" w:w="50"/>
              <w:left w:type="dxa" w:w="80"/>
              <w:bottom w:type="dxa" w:w="50"/>
              <w:right w:type="dxa" w:w="80"/>
            </w:tcMar>
          </w:tcPr>
          <w:p>
            <w:r>
              <w:rPr>
                <w:b/>
                <w:bCs/>
                <w:sz w:val="17"/>
                <w:szCs w:val="17"/>
              </w:rPr>
              <w:t xml:space="preserve">Item 1 result</w:t>
            </w:r>
          </w:p>
        </w:tc>
        <w:tc>
          <w:tcPr>
            <w:tcW w:type="pct" w:w="44%"/>
            <w:tcMar>
              <w:top w:type="dxa" w:w="50"/>
              <w:left w:type="dxa" w:w="80"/>
              <w:bottom w:type="dxa" w:w="50"/>
              <w:right w:type="dxa" w:w="80"/>
            </w:tcMar>
          </w:tcPr>
          <w:p>
            <w:r>
              <w:rPr>
                <w:b/>
                <w:bCs/>
                <w:sz w:val="17"/>
                <w:szCs w:val="17"/>
              </w:rPr>
              <w:t xml:space="preserve">What it means</w:t>
            </w:r>
          </w:p>
        </w:tc>
        <w:tc>
          <w:tcPr>
            <w:tcW w:type="pct" w:w="34%"/>
            <w:tcMar>
              <w:top w:type="dxa" w:w="50"/>
              <w:left w:type="dxa" w:w="80"/>
              <w:bottom w:type="dxa" w:w="50"/>
              <w:right w:type="dxa" w:w="80"/>
            </w:tcMar>
          </w:tcPr>
          <w:p>
            <w:r>
              <w:rPr>
                <w:b/>
                <w:bCs/>
                <w:sz w:val="17"/>
                <w:szCs w:val="17"/>
              </w:rPr>
              <w:t xml:space="preserve">The fix that follows</w:t>
            </w:r>
          </w:p>
        </w:tc>
      </w:tr>
      <w:tr>
        <w:trPr>
          <w:tblHeader w:val="false"/>
        </w:trPr>
        <w:tc>
          <w:tcPr>
            <w:tcW w:type="pct" w:w="22%"/>
            <w:tcMar>
              <w:top w:type="dxa" w:w="50"/>
              <w:left w:type="dxa" w:w="80"/>
              <w:bottom w:type="dxa" w:w="50"/>
              <w:right w:type="dxa" w:w="80"/>
            </w:tcMar>
          </w:tcPr>
          <w:p>
            <w:r>
              <w:rPr>
                <w:b w:val="false"/>
                <w:bCs w:val="false"/>
                <w:sz w:val="17"/>
                <w:szCs w:val="17"/>
              </w:rPr>
              <w:t xml:space="preserve">Total = Rs 361.14 Cr</w:t>
            </w:r>
          </w:p>
        </w:tc>
        <w:tc>
          <w:tcPr>
            <w:tcW w:type="pct" w:w="44%"/>
            <w:tcMar>
              <w:top w:type="dxa" w:w="50"/>
              <w:left w:type="dxa" w:w="80"/>
              <w:bottom w:type="dxa" w:w="50"/>
              <w:right w:type="dxa" w:w="80"/>
            </w:tcMar>
          </w:tcPr>
          <w:p>
            <w:r>
              <w:rPr>
                <w:b w:val="false"/>
                <w:bCs w:val="false"/>
                <w:sz w:val="17"/>
                <w:szCs w:val="17"/>
              </w:rPr>
              <w:t xml:space="preserve">Anchor is legitimate and now sourced. The register is genuinely missing about Rs 1.62 Cr of invoices.</w:t>
            </w:r>
          </w:p>
        </w:tc>
        <w:tc>
          <w:tcPr>
            <w:tcW w:type="pct" w:w="34%"/>
            <w:tcMar>
              <w:top w:type="dxa" w:w="50"/>
              <w:left w:type="dxa" w:w="80"/>
              <w:bottom w:type="dxa" w:w="50"/>
              <w:right w:type="dxa" w:w="80"/>
            </w:tcMar>
          </w:tcPr>
          <w:p>
            <w:r>
              <w:rPr>
                <w:b w:val="false"/>
                <w:bCs w:val="false"/>
                <w:sz w:val="17"/>
                <w:szCs w:val="17"/>
              </w:rPr>
              <w:t xml:space="preserve">Document the provenance; investigate which invoices the backfill missed.</w:t>
            </w:r>
          </w:p>
        </w:tc>
      </w:tr>
      <w:tr>
        <w:trPr>
          <w:tblHeader w:val="false"/>
        </w:trPr>
        <w:tc>
          <w:tcPr>
            <w:tcW w:type="pct" w:w="22%"/>
            <w:tcMar>
              <w:top w:type="dxa" w:w="50"/>
              <w:left w:type="dxa" w:w="80"/>
              <w:bottom w:type="dxa" w:w="50"/>
              <w:right w:type="dxa" w:w="80"/>
            </w:tcMar>
          </w:tcPr>
          <w:p>
            <w:r>
              <w:rPr>
                <w:b w:val="false"/>
                <w:bCs w:val="false"/>
                <w:sz w:val="17"/>
                <w:szCs w:val="17"/>
              </w:rPr>
              <w:t xml:space="preserve">Total differs</w:t>
            </w:r>
          </w:p>
        </w:tc>
        <w:tc>
          <w:tcPr>
            <w:tcW w:type="pct" w:w="44%"/>
            <w:tcMar>
              <w:top w:type="dxa" w:w="50"/>
              <w:left w:type="dxa" w:w="80"/>
              <w:bottom w:type="dxa" w:w="50"/>
              <w:right w:type="dxa" w:w="80"/>
            </w:tcMar>
          </w:tcPr>
          <w:p>
            <w:r>
              <w:rPr>
                <w:b w:val="false"/>
                <w:bCs w:val="false"/>
                <w:sz w:val="17"/>
                <w:szCs w:val="17"/>
              </w:rPr>
              <w:t xml:space="preserve">The anchor traces to nothing verifiable.</w:t>
            </w:r>
          </w:p>
        </w:tc>
        <w:tc>
          <w:tcPr>
            <w:tcW w:type="pct" w:w="34%"/>
            <w:tcMar>
              <w:top w:type="dxa" w:w="50"/>
              <w:left w:type="dxa" w:w="80"/>
              <w:bottom w:type="dxa" w:w="50"/>
              <w:right w:type="dxa" w:w="80"/>
            </w:tcMar>
          </w:tcPr>
          <w:p>
            <w:r>
              <w:rPr>
                <w:b w:val="false"/>
                <w:bCs w:val="false"/>
                <w:sz w:val="17"/>
                <w:szCs w:val="17"/>
              </w:rPr>
              <w:t xml:space="preserve">Replace it with a derived figure whose computation is documented, as FY2024-25 now has.</w:t>
            </w:r>
          </w:p>
        </w:tc>
      </w:tr>
    </w:tbl>
    <w:p>
      <w:pPr>
        <w:pBdr>
          <w:top w:val="single" w:color="BBCCDD" w:sz="6" w:space="6"/>
          <w:bottom w:val="single" w:color="BBCCDD" w:sz="6" w:space="6"/>
          <w:left w:val="single" w:color="BBCCDD" w:sz="6" w:space="6"/>
          <w:right w:val="single" w:color="BBCCDD" w:sz="6" w:space="6"/>
        </w:pBdr>
        <w:shd w:fill="EEF3F7" w:color="auto" w:val="clear"/>
        <w:spacing w:after="120"/>
      </w:pPr>
      <w:r>
        <w:t xml:space="preserve">If the anchor's commit predates the source file's last edit - and that file was modified on 23 July 2026 - then the gap is drift from a moving target, not missing data. An anchor taken from a live, still-editing sheet is a snapshot, not an anchor. That is the same pattern as the closed fiscal years that turned out not to be frozen. In that case the fix is to freeze the anchor source, not to chase the rupees.</w:t>
      </w:r>
    </w:p>
    <w:p>
      <w:pPr>
        <w:pStyle w:val="Heading1"/>
        <w:spacing w:after="110" w:before="250"/>
      </w:pPr>
      <w:r>
        <w:rPr>
          <w:b/>
          <w:bCs/>
        </w:rPr>
        <w:t xml:space="preserve">What to watch</w:t>
      </w:r>
    </w:p>
    <w:p>
      <w:pPr>
        <w:spacing w:after="40"/>
        <w:ind w:left="360"/>
      </w:pPr>
      <w:r>
        <w:t xml:space="preserve">- Item 1 must read the file through the app's Sheets access. The Drive connector refuses it - 3.2 MB as a Sheet still exceeds the export limit - so a report of 'cannot access' means the wrong method was used.</w:t>
      </w:r>
    </w:p>
    <w:p>
      <w:pPr>
        <w:spacing w:after="40"/>
        <w:ind w:left="360"/>
      </w:pPr>
      <w:r>
        <w:t xml:space="preserve">- Expect the completed consumer table to surface at least one reader missing a filter. Two superseded rows already exist, so the pattern is live rather than theoretical.</w:t>
      </w:r>
    </w:p>
    <w:p>
      <w:pPr>
        <w:spacing w:after="40"/>
        <w:ind w:left="360"/>
      </w:pPr>
      <w:r>
        <w:t xml:space="preserve">- If item 4 again cannot identify the Rs 58,78,112, accept that answer - but then the register should not be described as complete on rows anywhere in the documentation.</w:t>
      </w:r>
    </w:p>
    <w:p>
      <w:pPr>
        <w:spacing w:after="40"/>
        <w:ind w:left="360"/>
      </w:pPr>
      <w:r>
        <w:t xml:space="preserve">- After O1-E the fix should be small and obvious. Keep it as its own prompt; do not fold it into O2.</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O1-E diagnosis</dc:title>
  <dc:creator>Prayag AI Team</dc:creator>
  <cp:lastModifiedBy>Un-named</cp:lastModifiedBy>
  <cp:revision>1</cp:revision>
  <dcterms:created xsi:type="dcterms:W3CDTF">2026-07-24T10:39:38.784Z</dcterms:created>
  <dcterms:modified xsi:type="dcterms:W3CDTF">2026-07-24T10:39:38.804Z</dcterms:modified>
</cp:coreProperties>
</file>

<file path=docProps/custom.xml><?xml version="1.0" encoding="utf-8"?>
<Properties xmlns="http://schemas.openxmlformats.org/officeDocument/2006/custom-properties" xmlns:vt="http://schemas.openxmlformats.org/officeDocument/2006/docPropsVTypes"/>
</file>