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Prompt O1-F - the missing view and the filters it was meant to apply</w:t>
      </w:r>
    </w:p>
    <w:p>
      <w:pPr>
        <w:spacing w:after="150"/>
      </w:pPr>
      <w:r>
        <w:rPr>
          <w:i/>
          <w:iCs/>
          <w:color w:val="555555"/>
        </w:rPr>
        <w:t xml:space="preserve">A live runtime break. Send before O2.</w:t>
      </w:r>
    </w:p>
    <w:p>
      <w:pPr>
        <w:pStyle w:val="Heading1"/>
        <w:spacing w:after="110" w:before="250"/>
      </w:pPr>
      <w:r>
        <w:rPr>
          <w:b/>
          <w:bCs/>
        </w:rPr>
        <w:t xml:space="preserve">What O1-E actually found</w:t>
      </w:r>
    </w:p>
    <w:p>
      <w:pPr>
        <w:spacing w:after="100"/>
      </w:pPr>
      <w:r>
        <w:t xml:space="preserve">The anchor question is closed. The anchor of Rs 361.14 Cr is the State Head Sale 2025-26 sheet total rounded to the nearest lakh, C2 passes at 0.001 percent, and the earlier hypotheses about months[] and version_status leakage are both properly disproved.</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urgent finding is elsewhere. FOUR FEATURES FAIL AT RUNTIME. The view sale_line_current does not exist in the database, yet four raw-SQL consumers reference it. Each throws 'relation sale_line_current does not exist' when called: Customer Laspeyres price index, customer performance analytics, scheme eligibility, and the quarterly scheme nudge.</w:t>
      </w:r>
    </w:p>
    <w:p>
      <w:pPr>
        <w:pStyle w:val="Heading2"/>
        <w:spacing w:after="70" w:before="190"/>
      </w:pPr>
      <w:r>
        <w:rPr>
          <w:b/>
          <w:bCs/>
        </w:rPr>
        <w:t xml:space="preserve">One root cause, two symptoms</w:t>
      </w:r>
    </w:p>
    <w:p>
      <w:pPr>
        <w:spacing w:after="100"/>
      </w:pPr>
      <w:r>
        <w:t xml:space="preserve">The schema file at salesRegister.ts line 26 documents: 'The sale_line_current view applies this filter automatically for raw SQL.' That describes a safety net that was never built.</w:t>
      </w:r>
    </w:p>
    <w:p>
      <w:pPr>
        <w:spacing w:after="40"/>
        <w:ind w:left="360"/>
      </w:pPr>
      <w:r>
        <w:t xml:space="preserve">- Code that TRUSTED the view and used raw SQL - breaks outright.</w:t>
      </w:r>
    </w:p>
    <w:p>
      <w:pPr>
        <w:spacing w:after="40"/>
        <w:ind w:left="360"/>
      </w:pPr>
      <w:r>
        <w:t xml:space="preserve">- Code that OMITTED the version_status filter believing the view handled it - runs, and silently counts superseded rows.</w:t>
      </w:r>
    </w:p>
    <w:p>
      <w:pPr>
        <w:spacing w:after="100"/>
      </w:pPr>
      <w:r>
        <w:t xml:space="preserve">So the four missing filters and the four broken features are the same defect seen from two sides. Creating the view and adding the filters belong in one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6%"/>
            <w:tcMar>
              <w:top w:type="dxa" w:w="50"/>
              <w:left w:type="dxa" w:w="80"/>
              <w:bottom w:type="dxa" w:w="50"/>
              <w:right w:type="dxa" w:w="80"/>
            </w:tcMar>
          </w:tcPr>
          <w:p>
            <w:r>
              <w:rPr>
                <w:b/>
                <w:bCs/>
                <w:sz w:val="17"/>
                <w:szCs w:val="17"/>
              </w:rPr>
              <w:t xml:space="preserve">Missing version_status filter</w:t>
            </w:r>
          </w:p>
        </w:tc>
        <w:tc>
          <w:tcPr>
            <w:tcW w:type="pct" w:w="12%"/>
            <w:tcMar>
              <w:top w:type="dxa" w:w="50"/>
              <w:left w:type="dxa" w:w="80"/>
              <w:bottom w:type="dxa" w:w="50"/>
              <w:right w:type="dxa" w:w="80"/>
            </w:tcMar>
          </w:tcPr>
          <w:p>
            <w:r>
              <w:rPr>
                <w:b/>
                <w:bCs/>
                <w:sz w:val="17"/>
                <w:szCs w:val="17"/>
              </w:rPr>
              <w:t xml:space="preserve">Line</w:t>
            </w:r>
          </w:p>
        </w:tc>
        <w:tc>
          <w:tcPr>
            <w:tcW w:type="pct" w:w="52%"/>
            <w:tcMar>
              <w:top w:type="dxa" w:w="50"/>
              <w:left w:type="dxa" w:w="80"/>
              <w:bottom w:type="dxa" w:w="50"/>
              <w:right w:type="dxa" w:w="80"/>
            </w:tcMar>
          </w:tcPr>
          <w:p>
            <w:r>
              <w:rPr>
                <w:b/>
                <w:bCs/>
                <w:sz w:val="17"/>
                <w:szCs w:val="17"/>
              </w:rPr>
              <w:t xml:space="preserve">Practical impact today</w:t>
            </w:r>
          </w:p>
        </w:tc>
      </w:tr>
      <w:tr>
        <w:trPr>
          <w:tblHeader w:val="false"/>
        </w:trPr>
        <w:tc>
          <w:tcPr>
            <w:tcW w:type="pct" w:w="36%"/>
            <w:tcMar>
              <w:top w:type="dxa" w:w="50"/>
              <w:left w:type="dxa" w:w="80"/>
              <w:bottom w:type="dxa" w:w="50"/>
              <w:right w:type="dxa" w:w="80"/>
            </w:tcMar>
          </w:tcPr>
          <w:p>
            <w:r>
              <w:rPr>
                <w:b w:val="false"/>
                <w:bCs w:val="false"/>
                <w:sz w:val="17"/>
                <w:szCs w:val="17"/>
              </w:rPr>
              <w:t xml:space="preserve">routes/orders.ts</w:t>
            </w:r>
          </w:p>
        </w:tc>
        <w:tc>
          <w:tcPr>
            <w:tcW w:type="pct" w:w="12%"/>
            <w:tcMar>
              <w:top w:type="dxa" w:w="50"/>
              <w:left w:type="dxa" w:w="80"/>
              <w:bottom w:type="dxa" w:w="50"/>
              <w:right w:type="dxa" w:w="80"/>
            </w:tcMar>
          </w:tcPr>
          <w:p>
            <w:r>
              <w:rPr>
                <w:b w:val="false"/>
                <w:bCs w:val="false"/>
                <w:sz w:val="17"/>
                <w:szCs w:val="17"/>
              </w:rPr>
              <w:t xml:space="preserve">327</w:t>
            </w:r>
          </w:p>
        </w:tc>
        <w:tc>
          <w:tcPr>
            <w:tcW w:type="pct" w:w="52%"/>
            <w:tcMar>
              <w:top w:type="dxa" w:w="50"/>
              <w:left w:type="dxa" w:w="80"/>
              <w:bottom w:type="dxa" w:w="50"/>
              <w:right w:type="dxa" w:w="80"/>
            </w:tcMar>
          </w:tcPr>
          <w:p>
            <w:r>
              <w:rPr>
                <w:b w:val="false"/>
                <w:bCs w:val="false"/>
                <w:sz w:val="17"/>
                <w:szCs w:val="17"/>
              </w:rPr>
              <w:t xml:space="preserve">Booking-vs-sale total carries Rs 25,215 surplus</w:t>
            </w:r>
          </w:p>
        </w:tc>
      </w:tr>
      <w:tr>
        <w:trPr>
          <w:tblHeader w:val="false"/>
        </w:trPr>
        <w:tc>
          <w:tcPr>
            <w:tcW w:type="pct" w:w="36%"/>
            <w:tcMar>
              <w:top w:type="dxa" w:w="50"/>
              <w:left w:type="dxa" w:w="80"/>
              <w:bottom w:type="dxa" w:w="50"/>
              <w:right w:type="dxa" w:w="80"/>
            </w:tcMar>
          </w:tcPr>
          <w:p>
            <w:r>
              <w:rPr>
                <w:b w:val="false"/>
                <w:bCs w:val="false"/>
                <w:sz w:val="17"/>
                <w:szCs w:val="17"/>
              </w:rPr>
              <w:t xml:space="preserve">lib/sap/reconcileSheets.ts</w:t>
            </w:r>
          </w:p>
        </w:tc>
        <w:tc>
          <w:tcPr>
            <w:tcW w:type="pct" w:w="12%"/>
            <w:tcMar>
              <w:top w:type="dxa" w:w="50"/>
              <w:left w:type="dxa" w:w="80"/>
              <w:bottom w:type="dxa" w:w="50"/>
              <w:right w:type="dxa" w:w="80"/>
            </w:tcMar>
          </w:tcPr>
          <w:p>
            <w:r>
              <w:rPr>
                <w:b w:val="false"/>
                <w:bCs w:val="false"/>
                <w:sz w:val="17"/>
                <w:szCs w:val="17"/>
              </w:rPr>
              <w:t xml:space="preserve">794</w:t>
            </w:r>
          </w:p>
        </w:tc>
        <w:tc>
          <w:tcPr>
            <w:tcW w:type="pct" w:w="52%"/>
            <w:tcMar>
              <w:top w:type="dxa" w:w="50"/>
              <w:left w:type="dxa" w:w="80"/>
              <w:bottom w:type="dxa" w:w="50"/>
              <w:right w:type="dxa" w:w="80"/>
            </w:tcMar>
          </w:tcPr>
          <w:p>
            <w:r>
              <w:rPr>
                <w:b w:val="false"/>
                <w:bCs w:val="false"/>
                <w:sz w:val="17"/>
                <w:szCs w:val="17"/>
              </w:rPr>
              <w:t xml:space="preserve">Superseded rows appear as 'in DB, not in sheet'</w:t>
            </w:r>
          </w:p>
        </w:tc>
      </w:tr>
      <w:tr>
        <w:trPr>
          <w:tblHeader w:val="false"/>
        </w:trPr>
        <w:tc>
          <w:tcPr>
            <w:tcW w:type="pct" w:w="36%"/>
            <w:tcMar>
              <w:top w:type="dxa" w:w="50"/>
              <w:left w:type="dxa" w:w="80"/>
              <w:bottom w:type="dxa" w:w="50"/>
              <w:right w:type="dxa" w:w="80"/>
            </w:tcMar>
          </w:tcPr>
          <w:p>
            <w:r>
              <w:rPr>
                <w:b w:val="false"/>
                <w:bCs w:val="false"/>
                <w:sz w:val="17"/>
                <w:szCs w:val="17"/>
              </w:rPr>
              <w:t xml:space="preserve">routes/tabDiagnostic.ts</w:t>
            </w:r>
          </w:p>
        </w:tc>
        <w:tc>
          <w:tcPr>
            <w:tcW w:type="pct" w:w="12%"/>
            <w:tcMar>
              <w:top w:type="dxa" w:w="50"/>
              <w:left w:type="dxa" w:w="80"/>
              <w:bottom w:type="dxa" w:w="50"/>
              <w:right w:type="dxa" w:w="80"/>
            </w:tcMar>
          </w:tcPr>
          <w:p>
            <w:r>
              <w:rPr>
                <w:b w:val="false"/>
                <w:bCs w:val="false"/>
                <w:sz w:val="17"/>
                <w:szCs w:val="17"/>
              </w:rPr>
              <w:t xml:space="preserve">66</w:t>
            </w:r>
          </w:p>
        </w:tc>
        <w:tc>
          <w:tcPr>
            <w:tcW w:type="pct" w:w="52%"/>
            <w:tcMar>
              <w:top w:type="dxa" w:w="50"/>
              <w:left w:type="dxa" w:w="80"/>
              <w:bottom w:type="dxa" w:w="50"/>
              <w:right w:type="dxa" w:w="80"/>
            </w:tcMar>
          </w:tcPr>
          <w:p>
            <w:r>
              <w:rPr>
                <w:b w:val="false"/>
                <w:bCs w:val="false"/>
                <w:sz w:val="17"/>
                <w:szCs w:val="17"/>
              </w:rPr>
              <w:t xml:space="preserve">Superseded rows counted as disputed, included in totalAmount</w:t>
            </w:r>
          </w:p>
        </w:tc>
      </w:tr>
      <w:tr>
        <w:trPr>
          <w:tblHeader w:val="false"/>
        </w:trPr>
        <w:tc>
          <w:tcPr>
            <w:tcW w:type="pct" w:w="36%"/>
            <w:tcMar>
              <w:top w:type="dxa" w:w="50"/>
              <w:left w:type="dxa" w:w="80"/>
              <w:bottom w:type="dxa" w:w="50"/>
              <w:right w:type="dxa" w:w="80"/>
            </w:tcMar>
          </w:tcPr>
          <w:p>
            <w:r>
              <w:rPr>
                <w:b w:val="false"/>
                <w:bCs w:val="false"/>
                <w:sz w:val="17"/>
                <w:szCs w:val="17"/>
              </w:rPr>
              <w:t xml:space="preserve">lib/schemes/nudge.ts</w:t>
            </w:r>
          </w:p>
        </w:tc>
        <w:tc>
          <w:tcPr>
            <w:tcW w:type="pct" w:w="12%"/>
            <w:tcMar>
              <w:top w:type="dxa" w:w="50"/>
              <w:left w:type="dxa" w:w="80"/>
              <w:bottom w:type="dxa" w:w="50"/>
              <w:right w:type="dxa" w:w="80"/>
            </w:tcMar>
          </w:tcPr>
          <w:p>
            <w:r>
              <w:rPr>
                <w:b w:val="false"/>
                <w:bCs w:val="false"/>
                <w:sz w:val="17"/>
                <w:szCs w:val="17"/>
              </w:rPr>
              <w:t xml:space="preserve">434, 442</w:t>
            </w:r>
          </w:p>
        </w:tc>
        <w:tc>
          <w:tcPr>
            <w:tcW w:type="pct" w:w="52%"/>
            <w:tcMar>
              <w:top w:type="dxa" w:w="50"/>
              <w:left w:type="dxa" w:w="80"/>
              <w:bottom w:type="dxa" w:w="50"/>
              <w:right w:type="dxa" w:w="80"/>
            </w:tcMar>
          </w:tcPr>
          <w:p>
            <w:r>
              <w:rPr>
                <w:b w:val="false"/>
                <w:bCs w:val="false"/>
                <w:sz w:val="17"/>
                <w:szCs w:val="17"/>
              </w:rPr>
              <w:t xml:space="preserve">Both annual CTEs read all version_status</w:t>
            </w:r>
          </w:p>
        </w:tc>
      </w:tr>
    </w:tbl>
    <w:p>
      <w:pPr>
        <w:pStyle w:val="Heading1"/>
        <w:spacing w:after="110" w:before="250"/>
      </w:pPr>
      <w:r>
        <w:rPr>
          <w:b/>
          <w:bCs/>
        </w:rPr>
        <w:t xml:space="preserve">Prompt O1-F</w:t>
      </w:r>
    </w:p>
    <w:p>
      <w:pPr>
        <w:spacing w:after="20" w:before="100"/>
      </w:pPr>
      <w:r>
        <w:rPr>
          <w:b/>
          <w:bCs/>
          <w:i/>
          <w:iCs/>
          <w:color w:val="444444"/>
        </w:rPr>
        <w:t xml:space="preserve">PROMPT - O1-F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correction O1-F. Same global rules as every earlier phase. Send before</w:t>
      </w:r>
      <w:r>
        <w:rPr>
          <w:rFonts w:ascii="Courier New" w:cs="Courier New" w:eastAsia="Courier New" w:hAnsi="Courier New"/>
          <w:sz w:val="16"/>
          <w:szCs w:val="16"/>
        </w:rPr>
        <w:br/>
        <w:t xml:space="preserve">O2. This fixes a live runtime break.</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Root cause: salesRegister.ts line 26 documents that 'the sale_line_current view</w:t>
      </w:r>
      <w:r>
        <w:rPr>
          <w:rFonts w:ascii="Courier New" w:cs="Courier New" w:eastAsia="Courier New" w:hAnsi="Courier New"/>
          <w:sz w:val="16"/>
          <w:szCs w:val="16"/>
        </w:rPr>
        <w:br/>
        <w:t xml:space="preserve">applies this filter automatically for raw SQL'. That view does not exist in the</w:t>
      </w:r>
      <w:r>
        <w:rPr>
          <w:rFonts w:ascii="Courier New" w:cs="Courier New" w:eastAsia="Courier New" w:hAnsi="Courier New"/>
          <w:sz w:val="16"/>
          <w:szCs w:val="16"/>
        </w:rPr>
        <w:br/>
        <w:t xml:space="preserve">database - confirmed absent from pg_views and pg_matviews. Four raw-SQL consumers</w:t>
      </w:r>
      <w:r>
        <w:rPr>
          <w:rFonts w:ascii="Courier New" w:cs="Courier New" w:eastAsia="Courier New" w:hAnsi="Courier New"/>
          <w:sz w:val="16"/>
          <w:szCs w:val="16"/>
        </w:rPr>
        <w:br/>
        <w:t xml:space="preserve">reference it and throw at runtime; four other consumers omitted the version_status</w:t>
      </w:r>
      <w:r>
        <w:rPr>
          <w:rFonts w:ascii="Courier New" w:cs="Courier New" w:eastAsia="Courier New" w:hAnsi="Courier New"/>
          <w:sz w:val="16"/>
          <w:szCs w:val="16"/>
        </w:rPr>
        <w:br/>
        <w:t xml:space="preserve">filter believing the view handled it. Same defect, two symptoms.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CREATE THE VIEW.</w:t>
      </w:r>
      <w:r>
        <w:rPr>
          <w:rFonts w:ascii="Courier New" w:cs="Courier New" w:eastAsia="Courier New" w:hAnsi="Courier New"/>
          <w:sz w:val="16"/>
          <w:szCs w:val="16"/>
        </w:rPr>
        <w:br/>
        <w:t xml:space="preserve">     CREATE VIEW sale_line_current AS</w:t>
      </w:r>
      <w:r>
        <w:rPr>
          <w:rFonts w:ascii="Courier New" w:cs="Courier New" w:eastAsia="Courier New" w:hAnsi="Courier New"/>
          <w:sz w:val="16"/>
          <w:szCs w:val="16"/>
        </w:rPr>
        <w:br/>
        <w:t xml:space="preserve">       SELECT * FROM sale_line WHERE version_status = 'current';</w:t>
      </w:r>
      <w:r>
        <w:rPr>
          <w:rFonts w:ascii="Courier New" w:cs="Courier New" w:eastAsia="Courier New" w:hAnsi="Courier New"/>
          <w:sz w:val="16"/>
          <w:szCs w:val="16"/>
        </w:rPr>
        <w:br/>
        <w:t xml:space="preserve">   Add it as a proper migration, not an ad-hoc statement, so it exists in every</w:t>
      </w:r>
      <w:r>
        <w:rPr>
          <w:rFonts w:ascii="Courier New" w:cs="Courier New" w:eastAsia="Courier New" w:hAnsi="Courier New"/>
          <w:sz w:val="16"/>
          <w:szCs w:val="16"/>
        </w:rPr>
        <w:br/>
        <w:t xml:space="preserve">   environment including the test schema.</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ADD THE FOUR MISSING FILTERS. Add eq(saleLines.versionStatus, 'current') to:</w:t>
      </w:r>
      <w:r>
        <w:rPr>
          <w:rFonts w:ascii="Courier New" w:cs="Courier New" w:eastAsia="Courier New" w:hAnsi="Courier New"/>
          <w:sz w:val="16"/>
          <w:szCs w:val="16"/>
        </w:rPr>
        <w:br/>
        <w:t xml:space="preserve">     routes/orders.ts:327          booking-vs-sale, sale side total</w:t>
      </w:r>
      <w:r>
        <w:rPr>
          <w:rFonts w:ascii="Courier New" w:cs="Courier New" w:eastAsia="Courier New" w:hAnsi="Courier New"/>
          <w:sz w:val="16"/>
          <w:szCs w:val="16"/>
        </w:rPr>
        <w:br/>
        <w:t xml:space="preserve">     lib/sap/reconcileSheets.ts:794  Sheets-vs-DB gap diagnostic, DB row fetch</w:t>
      </w:r>
      <w:r>
        <w:rPr>
          <w:rFonts w:ascii="Courier New" w:cs="Courier New" w:eastAsia="Courier New" w:hAnsi="Courier New"/>
          <w:sz w:val="16"/>
          <w:szCs w:val="16"/>
        </w:rPr>
        <w:br/>
        <w:t xml:space="preserve">     routes/tabDiagnostic.ts:66      tab-diagnostic row confirmation counts</w:t>
      </w:r>
      <w:r>
        <w:rPr>
          <w:rFonts w:ascii="Courier New" w:cs="Courier New" w:eastAsia="Courier New" w:hAnsi="Courier New"/>
          <w:sz w:val="16"/>
          <w:szCs w:val="16"/>
        </w:rPr>
        <w:br/>
        <w:t xml:space="preserve">     lib/schemes/nudge.ts:434,442    annual scheme nudge, both CY and LY CTEs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VERIFY THE FOUR REACTIVATED FEATURES ACTUALLY WORK - this is the important step.</w:t>
      </w:r>
      <w:r>
        <w:rPr>
          <w:rFonts w:ascii="Courier New" w:cs="Courier New" w:eastAsia="Courier New" w:hAnsi="Courier New"/>
          <w:sz w:val="16"/>
          <w:szCs w:val="16"/>
        </w:rPr>
        <w:br/>
        <w:t xml:space="preserve">   These four have NEVER successfully executed against real data, because the view</w:t>
      </w:r>
      <w:r>
        <w:rPr>
          <w:rFonts w:ascii="Courier New" w:cs="Courier New" w:eastAsia="Courier New" w:hAnsi="Courier New"/>
          <w:sz w:val="16"/>
          <w:szCs w:val="16"/>
        </w:rPr>
        <w:br/>
        <w:t xml:space="preserve">   they depend on has never existed. Creating it does not merely fix them; it</w:t>
      </w:r>
      <w:r>
        <w:rPr>
          <w:rFonts w:ascii="Courier New" w:cs="Courier New" w:eastAsia="Courier New" w:hAnsi="Courier New"/>
          <w:sz w:val="16"/>
          <w:szCs w:val="16"/>
        </w:rPr>
        <w:br/>
        <w:t xml:space="preserve">   ACTIVATES UNTESTED CODE PATHS. Do not assume output is correct because the error</w:t>
      </w:r>
      <w:r>
        <w:rPr>
          <w:rFonts w:ascii="Courier New" w:cs="Courier New" w:eastAsia="Courier New" w:hAnsi="Courier New"/>
          <w:sz w:val="16"/>
          <w:szCs w:val="16"/>
        </w:rPr>
        <w:br/>
        <w:t xml:space="preserve">   stopped.</w:t>
      </w:r>
      <w:r>
        <w:rPr>
          <w:rFonts w:ascii="Courier New" w:cs="Courier New" w:eastAsia="Courier New" w:hAnsi="Courier New"/>
          <w:sz w:val="16"/>
          <w:szCs w:val="16"/>
        </w:rPr>
        <w:br/>
        <w:t xml:space="preserve">   For each of lib/customers/laspeyres.ts, lib/customers/analytics.ts,</w:t>
      </w:r>
      <w:r>
        <w:rPr>
          <w:rFonts w:ascii="Courier New" w:cs="Courier New" w:eastAsia="Courier New" w:hAnsi="Courier New"/>
          <w:sz w:val="16"/>
          <w:szCs w:val="16"/>
        </w:rPr>
        <w:br/>
        <w:t xml:space="preserve">   lib/customers/schemes.ts and lib/schemes/nudge.ts:190 - execute it against real</w:t>
      </w:r>
      <w:r>
        <w:rPr>
          <w:rFonts w:ascii="Courier New" w:cs="Courier New" w:eastAsia="Courier New" w:hAnsi="Courier New"/>
          <w:sz w:val="16"/>
          <w:szCs w:val="16"/>
        </w:rPr>
        <w:br/>
        <w:t xml:space="preserve">   data and REPORT ITS OUTPUT: row counts, totals, and whether the figures are</w:t>
      </w:r>
      <w:r>
        <w:rPr>
          <w:rFonts w:ascii="Courier New" w:cs="Courier New" w:eastAsia="Courier New" w:hAnsi="Courier New"/>
          <w:sz w:val="16"/>
          <w:szCs w:val="16"/>
        </w:rPr>
        <w:br/>
        <w:t xml:space="preserve">   plausible against something already known. Flag anything that returns zero, null,</w:t>
      </w:r>
      <w:r>
        <w:rPr>
          <w:rFonts w:ascii="Courier New" w:cs="Courier New" w:eastAsia="Courier New" w:hAnsi="Courier New"/>
          <w:sz w:val="16"/>
          <w:szCs w:val="16"/>
        </w:rPr>
        <w:br/>
        <w:t xml:space="preserve">   an empty set, or a total that does not reconcile to a figure we already trust.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AUDIT FOR THE SAME ASSUMPTION ELSEWHERE. Search the codebase for every other</w:t>
      </w:r>
      <w:r>
        <w:rPr>
          <w:rFonts w:ascii="Courier New" w:cs="Courier New" w:eastAsia="Courier New" w:hAnsi="Courier New"/>
          <w:sz w:val="16"/>
          <w:szCs w:val="16"/>
        </w:rPr>
        <w:br/>
        <w:t xml:space="preserve">   reference to sale_line_current and for any other comment claiming a view, trigger</w:t>
      </w:r>
      <w:r>
        <w:rPr>
          <w:rFonts w:ascii="Courier New" w:cs="Courier New" w:eastAsia="Courier New" w:hAnsi="Courier New"/>
          <w:sz w:val="16"/>
          <w:szCs w:val="16"/>
        </w:rPr>
        <w:br/>
        <w:t xml:space="preserve">   or default applies a filter automatically. Report what you find. A documented</w:t>
      </w:r>
      <w:r>
        <w:rPr>
          <w:rFonts w:ascii="Courier New" w:cs="Courier New" w:eastAsia="Courier New" w:hAnsi="Courier New"/>
          <w:sz w:val="16"/>
          <w:szCs w:val="16"/>
        </w:rPr>
        <w:br/>
        <w:t xml:space="preserve">   safety net that does not exist is the defect here, and it may not be the only one.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ADD A STARTUP CHECK. On boot, verify that every database object the code depends</w:t>
      </w:r>
      <w:r>
        <w:rPr>
          <w:rFonts w:ascii="Courier New" w:cs="Courier New" w:eastAsia="Courier New" w:hAnsi="Courier New"/>
          <w:sz w:val="16"/>
          <w:szCs w:val="16"/>
        </w:rPr>
        <w:br/>
        <w:t xml:space="preserve">   on actually exists - at minimum sale_line_current - and fail loudly with a named</w:t>
      </w:r>
      <w:r>
        <w:rPr>
          <w:rFonts w:ascii="Courier New" w:cs="Courier New" w:eastAsia="Courier New" w:hAnsi="Courier New"/>
          <w:sz w:val="16"/>
          <w:szCs w:val="16"/>
        </w:rPr>
        <w:br/>
        <w:t xml:space="preserve">   error if one is missing. A missing view should never again be discovered by a user</w:t>
      </w:r>
      <w:r>
        <w:rPr>
          <w:rFonts w:ascii="Courier New" w:cs="Courier New" w:eastAsia="Courier New" w:hAnsi="Courier New"/>
          <w:sz w:val="16"/>
          <w:szCs w:val="16"/>
        </w:rPr>
        <w:br/>
        <w:t xml:space="preserve">   hitting a broken feature.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prove each with the computed value, never an assertion of success:</w:t>
      </w:r>
      <w:r>
        <w:rPr>
          <w:rFonts w:ascii="Courier New" w:cs="Courier New" w:eastAsia="Courier New" w:hAnsi="Courier New"/>
          <w:sz w:val="16"/>
          <w:szCs w:val="16"/>
        </w:rPr>
        <w:br/>
        <w:t xml:space="preserve">  sale_line_current exists and appears in pg_views</w:t>
      </w:r>
      <w:r>
        <w:rPr>
          <w:rFonts w:ascii="Courier New" w:cs="Courier New" w:eastAsia="Courier New" w:hAnsi="Courier New"/>
          <w:sz w:val="16"/>
          <w:szCs w:val="16"/>
        </w:rPr>
        <w:br/>
        <w:t xml:space="preserve">  the migration is present and applies cleanly to a fresh database, including the</w:t>
      </w:r>
      <w:r>
        <w:rPr>
          <w:rFonts w:ascii="Courier New" w:cs="Courier New" w:eastAsia="Courier New" w:hAnsi="Courier New"/>
          <w:sz w:val="16"/>
          <w:szCs w:val="16"/>
        </w:rPr>
        <w:br/>
        <w:t xml:space="preserve">    test schema</w:t>
      </w:r>
      <w:r>
        <w:rPr>
          <w:rFonts w:ascii="Courier New" w:cs="Courier New" w:eastAsia="Courier New" w:hAnsi="Courier New"/>
          <w:sz w:val="16"/>
          <w:szCs w:val="16"/>
        </w:rPr>
        <w:br/>
        <w:t xml:space="preserve">  each of the four previously-broken features executes without error AND its output</w:t>
      </w:r>
      <w:r>
        <w:rPr>
          <w:rFonts w:ascii="Courier New" w:cs="Courier New" w:eastAsia="Courier New" w:hAnsi="Courier New"/>
          <w:sz w:val="16"/>
          <w:szCs w:val="16"/>
        </w:rPr>
        <w:br/>
        <w:t xml:space="preserve">    is reported with row counts and totals</w:t>
      </w:r>
      <w:r>
        <w:rPr>
          <w:rFonts w:ascii="Courier New" w:cs="Courier New" w:eastAsia="Courier New" w:hAnsi="Courier New"/>
          <w:sz w:val="16"/>
          <w:szCs w:val="16"/>
        </w:rPr>
        <w:br/>
        <w:t xml:space="preserve">  routes/orders.ts booking-vs-sale sale-side total DROPS by exactly Rs 25,215 - the</w:t>
      </w:r>
      <w:r>
        <w:rPr>
          <w:rFonts w:ascii="Courier New" w:cs="Courier New" w:eastAsia="Courier New" w:hAnsi="Courier New"/>
          <w:sz w:val="16"/>
          <w:szCs w:val="16"/>
        </w:rPr>
        <w:br/>
        <w:t xml:space="preserve">    two superseded WT-4LC-07 rows - and the new figure is stated</w:t>
      </w:r>
      <w:r>
        <w:rPr>
          <w:rFonts w:ascii="Courier New" w:cs="Courier New" w:eastAsia="Courier New" w:hAnsi="Courier New"/>
          <w:sz w:val="16"/>
          <w:szCs w:val="16"/>
        </w:rPr>
        <w:br/>
        <w:t xml:space="preserve">  tab-diagnostic no longer counts those two rows as disputed</w:t>
      </w:r>
      <w:r>
        <w:rPr>
          <w:rFonts w:ascii="Courier New" w:cs="Courier New" w:eastAsia="Courier New" w:hAnsi="Courier New"/>
          <w:sz w:val="16"/>
          <w:szCs w:val="16"/>
        </w:rPr>
        <w:br/>
        <w:t xml:space="preserve">  the scheme nudge CTEs return figures that differ from before, and the difference is</w:t>
      </w:r>
      <w:r>
        <w:rPr>
          <w:rFonts w:ascii="Courier New" w:cs="Courier New" w:eastAsia="Courier New" w:hAnsi="Courier New"/>
          <w:sz w:val="16"/>
          <w:szCs w:val="16"/>
        </w:rPr>
        <w:br/>
        <w:t xml:space="preserve">    stated and explained</w:t>
      </w:r>
      <w:r>
        <w:rPr>
          <w:rFonts w:ascii="Courier New" w:cs="Courier New" w:eastAsia="Courier New" w:hAnsi="Courier New"/>
          <w:sz w:val="16"/>
          <w:szCs w:val="16"/>
        </w:rPr>
        <w:br/>
        <w:t xml:space="preserve">  the codebase audit for other assumed-but-absent database objects is reported</w:t>
      </w:r>
      <w:r>
        <w:rPr>
          <w:rFonts w:ascii="Courier New" w:cs="Courier New" w:eastAsia="Courier New" w:hAnsi="Courier New"/>
          <w:sz w:val="16"/>
          <w:szCs w:val="16"/>
        </w:rPr>
        <w:br/>
        <w:t xml:space="preserve">  the startup check fails loudly when the view is dropped - demonstrate it</w:t>
      </w:r>
      <w:r>
        <w:rPr>
          <w:rFonts w:ascii="Courier New" w:cs="Courier New" w:eastAsia="Courier New" w:hAnsi="Courier New"/>
          <w:sz w:val="16"/>
          <w:szCs w:val="16"/>
        </w:rPr>
        <w:br/>
        <w:t xml:space="preserve">  FY2024-25 stays at Rs 341.14 Cr and FY2025-26 at Rs 359.52 Cr; the analytics</w:t>
      </w:r>
      <w:r>
        <w:rPr>
          <w:rFonts w:ascii="Courier New" w:cs="Courier New" w:eastAsia="Courier New" w:hAnsi="Courier New"/>
          <w:sz w:val="16"/>
          <w:szCs w:val="16"/>
        </w:rPr>
        <w:br/>
        <w:t xml:space="preserve">    endpoint is unchanged, since it already filtered correctly</w:t>
      </w:r>
      <w:r>
        <w:rPr>
          <w:rFonts w:ascii="Courier New" w:cs="Courier New" w:eastAsia="Courier New" w:hAnsi="Courier New"/>
          <w:sz w:val="16"/>
          <w:szCs w:val="16"/>
        </w:rPr>
        <w:br/>
        <w:t xml:space="preserve">  the full test suite passes</w:t>
      </w:r>
    </w:p>
    <w:p>
      <w:pPr>
        <w:pStyle w:val="Heading1"/>
        <w:spacing w:after="110" w:before="250"/>
      </w:pPr>
      <w:r>
        <w:rPr>
          <w:b/>
          <w:bCs/>
        </w:rPr>
        <w:t xml:space="preserve">Two things to settle alongside, not inside, this prompt</w:t>
      </w:r>
    </w:p>
    <w:p>
      <w:pPr>
        <w:pStyle w:val="Heading2"/>
        <w:spacing w:after="70" w:before="190"/>
      </w:pPr>
      <w:r>
        <w:rPr>
          <w:b/>
          <w:bCs/>
        </w:rPr>
        <w:t xml:space="preserve">The Rs 1.61 Cr direction is not established</w:t>
      </w:r>
    </w:p>
    <w:p>
      <w:pPr>
        <w:spacing w:after="100"/>
      </w:pPr>
      <w:r>
        <w:t xml:space="preserve">O1-E concludes that 'the register is genuinely missing approximately Rs 1.61 Cr of invoices'. That assumes the sheet is correct. But the sheet holds aggregates hand-entered by state heads and team members, while the register is invoice-level backfill - and invoice-level data is normally the more reliable of the two. The difference could as easily be over-entry or duplication in the sheet.</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Before anyone hunts for missing invoices, localise the gap: compare sheet against register MONTH BY MONTH and HEAD BY HEAD. A gap concentrated in one head or one month points to a sheet entry error. A gap spread evenly across all twelve months points to systematic backfill loss. Chasing invoices that do not exist would waste real effort, and 0.45 percent is small enough that the answer is not obvious from the total alone.</w:t>
      </w:r>
    </w:p>
    <w:p>
      <w:pPr>
        <w:pStyle w:val="Heading2"/>
        <w:spacing w:after="70" w:before="190"/>
      </w:pPr>
      <w:r>
        <w:rPr>
          <w:b/>
          <w:bCs/>
        </w:rPr>
        <w:t xml:space="preserve">The two anchors are derived from different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Mar>
              <w:top w:type="dxa" w:w="50"/>
              <w:left w:type="dxa" w:w="80"/>
              <w:bottom w:type="dxa" w:w="50"/>
              <w:right w:type="dxa" w:w="80"/>
            </w:tcMar>
          </w:tcPr>
          <w:p>
            <w:r>
              <w:rPr>
                <w:b/>
                <w:bCs/>
                <w:sz w:val="17"/>
                <w:szCs w:val="17"/>
              </w:rPr>
              <w:t xml:space="preserve">Anchor</w:t>
            </w:r>
          </w:p>
        </w:tc>
        <w:tc>
          <w:tcPr>
            <w:tcW w:type="pct" w:w="50%"/>
            <w:tcMar>
              <w:top w:type="dxa" w:w="50"/>
              <w:left w:type="dxa" w:w="80"/>
              <w:bottom w:type="dxa" w:w="50"/>
              <w:right w:type="dxa" w:w="80"/>
            </w:tcMar>
          </w:tcPr>
          <w:p>
            <w:r>
              <w:rPr>
                <w:b/>
                <w:bCs/>
                <w:sz w:val="17"/>
                <w:szCs w:val="17"/>
              </w:rPr>
              <w:t xml:space="preserve">Derived from</w:t>
            </w:r>
          </w:p>
        </w:tc>
        <w:tc>
          <w:tcPr>
            <w:tcW w:type="pct" w:w="30%"/>
            <w:tcMar>
              <w:top w:type="dxa" w:w="50"/>
              <w:left w:type="dxa" w:w="80"/>
              <w:bottom w:type="dxa" w:w="50"/>
              <w:right w:type="dxa" w:w="80"/>
            </w:tcMar>
          </w:tcPr>
          <w:p>
            <w:r>
              <w:rPr>
                <w:b/>
                <w:bCs/>
                <w:sz w:val="17"/>
                <w:szCs w:val="17"/>
              </w:rPr>
              <w:t xml:space="preserve">Value</w:t>
            </w:r>
          </w:p>
        </w:tc>
      </w:tr>
      <w:tr>
        <w:trPr>
          <w:tblHeader w:val="false"/>
        </w:trPr>
        <w:tc>
          <w:tcPr>
            <w:tcW w:type="pct" w:w="20%"/>
            <w:tcMar>
              <w:top w:type="dxa" w:w="50"/>
              <w:left w:type="dxa" w:w="80"/>
              <w:bottom w:type="dxa" w:w="50"/>
              <w:right w:type="dxa" w:w="80"/>
            </w:tcMar>
          </w:tcPr>
          <w:p>
            <w:r>
              <w:rPr>
                <w:b w:val="false"/>
                <w:bCs w:val="false"/>
                <w:sz w:val="17"/>
                <w:szCs w:val="17"/>
              </w:rPr>
              <w:t xml:space="preserve">FY2024-25</w:t>
            </w:r>
          </w:p>
        </w:tc>
        <w:tc>
          <w:tcPr>
            <w:tcW w:type="pct" w:w="50%"/>
            <w:tcMar>
              <w:top w:type="dxa" w:w="50"/>
              <w:left w:type="dxa" w:w="80"/>
              <w:bottom w:type="dxa" w:w="50"/>
              <w:right w:type="dxa" w:w="80"/>
            </w:tcMar>
          </w:tcPr>
          <w:p>
            <w:r>
              <w:rPr>
                <w:b w:val="false"/>
                <w:bCs w:val="false"/>
                <w:sz w:val="17"/>
                <w:szCs w:val="17"/>
              </w:rPr>
              <w:t xml:space="preserve">the REGISTER (Rs 3,411,433,806)</w:t>
            </w:r>
          </w:p>
        </w:tc>
        <w:tc>
          <w:tcPr>
            <w:tcW w:type="pct" w:w="30%"/>
            <w:tcMar>
              <w:top w:type="dxa" w:w="50"/>
              <w:left w:type="dxa" w:w="80"/>
              <w:bottom w:type="dxa" w:w="50"/>
              <w:right w:type="dxa" w:w="80"/>
            </w:tcMar>
          </w:tcPr>
          <w:p>
            <w:r>
              <w:rPr>
                <w:b w:val="false"/>
                <w:bCs w:val="false"/>
                <w:sz w:val="17"/>
                <w:szCs w:val="17"/>
              </w:rPr>
              <w:t xml:space="preserve">Rs 3,411,400,000</w:t>
            </w:r>
          </w:p>
        </w:tc>
      </w:tr>
      <w:tr>
        <w:trPr>
          <w:tblHeader w:val="false"/>
        </w:trPr>
        <w:tc>
          <w:tcPr>
            <w:tcW w:type="pct" w:w="20%"/>
            <w:tcMar>
              <w:top w:type="dxa" w:w="50"/>
              <w:left w:type="dxa" w:w="80"/>
              <w:bottom w:type="dxa" w:w="50"/>
              <w:right w:type="dxa" w:w="80"/>
            </w:tcMar>
          </w:tcPr>
          <w:p>
            <w:r>
              <w:rPr>
                <w:b w:val="false"/>
                <w:bCs w:val="false"/>
                <w:sz w:val="17"/>
                <w:szCs w:val="17"/>
              </w:rPr>
              <w:t xml:space="preserve">FY2025-26</w:t>
            </w:r>
          </w:p>
        </w:tc>
        <w:tc>
          <w:tcPr>
            <w:tcW w:type="pct" w:w="50%"/>
            <w:tcMar>
              <w:top w:type="dxa" w:w="50"/>
              <w:left w:type="dxa" w:w="80"/>
              <w:bottom w:type="dxa" w:w="50"/>
              <w:right w:type="dxa" w:w="80"/>
            </w:tcMar>
          </w:tcPr>
          <w:p>
            <w:r>
              <w:rPr>
                <w:b w:val="false"/>
                <w:bCs w:val="false"/>
                <w:sz w:val="17"/>
                <w:szCs w:val="17"/>
              </w:rPr>
              <w:t xml:space="preserve">the STATE HEAD SALE SHEET (Rs 3,611,350,789)</w:t>
            </w:r>
          </w:p>
        </w:tc>
        <w:tc>
          <w:tcPr>
            <w:tcW w:type="pct" w:w="30%"/>
            <w:tcMar>
              <w:top w:type="dxa" w:w="50"/>
              <w:left w:type="dxa" w:w="80"/>
              <w:bottom w:type="dxa" w:w="50"/>
              <w:right w:type="dxa" w:w="80"/>
            </w:tcMar>
          </w:tcPr>
          <w:p>
            <w:r>
              <w:rPr>
                <w:b w:val="false"/>
                <w:bCs w:val="false"/>
                <w:sz w:val="17"/>
                <w:szCs w:val="17"/>
              </w:rPr>
              <w:t xml:space="preserve">Rs 3,611,400,000</w:t>
            </w:r>
          </w:p>
        </w:tc>
      </w:tr>
    </w:tbl>
    <w:p>
      <w:pPr>
        <w:spacing w:after="100"/>
      </w:pPr>
      <w:r>
        <w:t xml:space="preserve">Same rounding convention, different bases. Any year-on-year comparison built on these anchors is comparing a register figure against a sheet figure. At minimum, record each anchor's source in its comment field so nobody assumes they are comparable. Better, standardise on one basis. Also re-snapshot the FY2025-26 anchor once that sheet is confirmed frozen - it was edited eleven days after the anchor was taken, and whether further edits are coming is unknown.</w:t>
      </w:r>
    </w:p>
    <w:p>
      <w:pPr>
        <w:pStyle w:val="Heading1"/>
        <w:spacing w:after="110" w:before="250"/>
      </w:pPr>
      <w:r>
        <w:rPr>
          <w:b/>
          <w:bCs/>
        </w:rPr>
        <w:t xml:space="preserve">What to watch</w:t>
      </w:r>
    </w:p>
    <w:p>
      <w:pPr>
        <w:spacing w:after="40"/>
        <w:ind w:left="360"/>
      </w:pPr>
      <w:r>
        <w:t xml:space="preserve">- Step 3 is the point of this prompt. If the agent reports only 'no longer errors', push back - four features that have never run against real data are four features whose output nobody has ever checked.</w:t>
      </w:r>
    </w:p>
    <w:p>
      <w:pPr>
        <w:spacing w:after="40"/>
        <w:ind w:left="360"/>
      </w:pPr>
      <w:r>
        <w:t xml:space="preserve">- The Rs 25,215 drop in booking-vs-sale is the proof that the filters took effect. If that number does not move, the filter was not applied where it matters.</w:t>
      </w:r>
    </w:p>
    <w:p>
      <w:pPr>
        <w:spacing w:after="40"/>
        <w:ind w:left="360"/>
      </w:pPr>
      <w:r>
        <w:t xml:space="preserve">- Expect step 4 to find more than nothing. A comment describing a safety net that was never built suggests the assumption was held in more than one place.</w:t>
      </w:r>
    </w:p>
    <w:p>
      <w:pPr>
        <w:spacing w:after="40"/>
        <w:ind w:left="360"/>
      </w:pPr>
      <w:r>
        <w:t xml:space="preserve">- Do not let the Rs 1.61 Cr investigation be bundled into this prompt. It is a separate question and its direction is not yet known.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O1-F</dc:title>
  <dc:creator>Prayag AI Team</dc:creator>
  <cp:lastModifiedBy>Un-named</cp:lastModifiedBy>
  <cp:revision>1</cp:revision>
  <dcterms:created xsi:type="dcterms:W3CDTF">2026-07-24T10:52:56.964Z</dcterms:created>
  <dcterms:modified xsi:type="dcterms:W3CDTF">2026-07-24T10:52:56.990Z</dcterms:modified>
</cp:coreProperties>
</file>

<file path=docProps/custom.xml><?xml version="1.0" encoding="utf-8"?>
<Properties xmlns="http://schemas.openxmlformats.org/officeDocument/2006/custom-properties" xmlns:vt="http://schemas.openxmlformats.org/officeDocument/2006/docPropsVTypes"/>
</file>