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t xml:space="preserve">Prayag India — Dashboard Reference</w:t>
      </w:r>
    </w:p>
    <w:p>
      <w:pPr>
        <w:spacing w:after="40" w:before="40"/>
      </w:pPr>
      <w:r>
        <w:rPr>
          <w:color w:val="595959"/>
          <w:sz w:val="22"/>
          <w:szCs w:val="22"/>
        </w:rPr>
        <w:t xml:space="preserve">FY2024-25 monthly data coverage and Overview card sources</w:t>
      </w:r>
    </w:p>
    <w:p>
      <w:pPr>
        <w:spacing w:after="40" w:before="40"/>
      </w:pPr>
      <w:r>
        <w:rPr>
          <w:color w:val="808080"/>
          <w:sz w:val="18"/>
          <w:szCs w:val="18"/>
        </w:rPr>
        <w:t xml:space="preserve">Generated: July 24, 2026</w:t>
      </w:r>
    </w:p>
    <w:p>
      <w:pPr>
        <w:spacing w:after="100"/>
      </w:pPr>
    </w:p>
    <w:p>
      <w:pPr>
        <w:pStyle w:val="Heading1"/>
        <w:spacing w:after="120" w:before="360"/>
      </w:pPr>
      <w:r>
        <w:t xml:space="preserve">1.  FY2024-25 — Which months have data</w:t>
      </w:r>
    </w:p>
    <w:p>
      <w:pPr>
        <w:spacing w:after="40" w:before="40"/>
      </w:pPr>
      <w:r>
        <w:rPr>
          <w:sz w:val="22"/>
          <w:szCs w:val="22"/>
        </w:rPr>
        <w:t xml:space="preserve">All 12 months of FY2024-25 (Apr 2024 – Mar 2025) are present. The source is the SALE tab of the Item-wise Product Sales workbook (FY2024-25). The tab stores one product code per row; columns C–N (positions 3–14 in the exceljs index) map to Apr through Mar. Only rows whose column-B product code maps to a recognised PRODUCT_GROUP are summed; subtotal and grand-total rows are skipped.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shd w:fill="D9E2F3" w:val="clear"/>
            <w:tcMar>
              <w:top w:type="dxa" w:w="60"/>
              <w:left w:type="dxa" w:w="100"/>
              <w:bottom w:type="dxa" w:w="60"/>
              <w:right w:type="dxa" w:w="100"/>
            </w:tcMar>
          </w:tcPr>
          <w:p>
            <w:pPr>
              <w:jc w:val="left"/>
            </w:pPr>
            <w:r>
              <w:rPr>
                <w:b/>
                <w:bCs/>
                <w:sz w:val="20"/>
                <w:szCs w:val="20"/>
              </w:rPr>
              <w:t xml:space="preserve">Month (Apr–Mar)</w:t>
            </w:r>
          </w:p>
        </w:tc>
        <w:tc>
          <w:tcPr>
            <w:tcW w:type="pct" w:w="22%"/>
            <w:shd w:fill="D9E2F3" w:val="clear"/>
            <w:tcMar>
              <w:top w:type="dxa" w:w="60"/>
              <w:left w:type="dxa" w:w="100"/>
              <w:bottom w:type="dxa" w:w="60"/>
              <w:right w:type="dxa" w:w="100"/>
            </w:tcMar>
          </w:tcPr>
          <w:p>
            <w:pPr>
              <w:jc w:val="left"/>
            </w:pPr>
            <w:r>
              <w:rPr>
                <w:b/>
                <w:bCs/>
                <w:sz w:val="20"/>
                <w:szCs w:val="20"/>
              </w:rPr>
              <w:t xml:space="preserve">Amount (INR)</w:t>
            </w:r>
          </w:p>
        </w:tc>
        <w:tc>
          <w:tcPr>
            <w:tcW w:type="pct" w:w="16%"/>
            <w:shd w:fill="D9E2F3" w:val="clear"/>
            <w:tcMar>
              <w:top w:type="dxa" w:w="60"/>
              <w:left w:type="dxa" w:w="100"/>
              <w:bottom w:type="dxa" w:w="60"/>
              <w:right w:type="dxa" w:w="100"/>
            </w:tcMar>
          </w:tcPr>
          <w:p>
            <w:pPr>
              <w:jc w:val="left"/>
            </w:pPr>
            <w:r>
              <w:rPr>
                <w:b/>
                <w:bCs/>
                <w:sz w:val="20"/>
                <w:szCs w:val="20"/>
              </w:rPr>
              <w:t xml:space="preserve">Amount (Cr)</w:t>
            </w:r>
          </w:p>
        </w:tc>
        <w:tc>
          <w:tcPr>
            <w:tcW w:type="pct" w:w="48%"/>
            <w:shd w:fill="D9E2F3" w:val="clear"/>
            <w:tcMar>
              <w:top w:type="dxa" w:w="60"/>
              <w:left w:type="dxa" w:w="100"/>
              <w:bottom w:type="dxa" w:w="60"/>
              <w:right w:type="dxa" w:w="100"/>
            </w:tcMar>
          </w:tcPr>
          <w:p>
            <w:pPr>
              <w:jc w:val="left"/>
            </w:pPr>
            <w:r>
              <w:rPr>
                <w:b/>
                <w:bCs/>
                <w:sz w:val="20"/>
                <w:szCs w:val="20"/>
              </w:rPr>
              <w:t xml:space="preserve">Data status / source</w:t>
            </w:r>
          </w:p>
        </w:tc>
      </w:tr>
      <w:tr>
        <w:tc>
          <w:tcPr>
            <w:tcMar>
              <w:top w:type="dxa" w:w="60"/>
              <w:left w:type="dxa" w:w="100"/>
              <w:bottom w:type="dxa" w:w="60"/>
              <w:right w:type="dxa" w:w="100"/>
            </w:tcMar>
          </w:tcPr>
          <w:p>
            <w:pPr>
              <w:jc w:val="left"/>
            </w:pPr>
            <w:r>
              <w:rPr>
                <w:sz w:val="20"/>
                <w:szCs w:val="20"/>
              </w:rPr>
              <w:t xml:space="preserve">Apr</w:t>
            </w:r>
          </w:p>
        </w:tc>
        <w:tc>
          <w:tcPr>
            <w:tcMar>
              <w:top w:type="dxa" w:w="60"/>
              <w:left w:type="dxa" w:w="100"/>
              <w:bottom w:type="dxa" w:w="60"/>
              <w:right w:type="dxa" w:w="100"/>
            </w:tcMar>
          </w:tcPr>
          <w:p>
            <w:pPr>
              <w:jc w:val="right"/>
            </w:pPr>
            <w:r>
              <w:rPr>
                <w:sz w:val="20"/>
                <w:szCs w:val="20"/>
              </w:rPr>
              <w:t xml:space="preserve">₹12,70,64,276</w:t>
            </w:r>
          </w:p>
        </w:tc>
        <w:tc>
          <w:tcPr>
            <w:tcMar>
              <w:top w:type="dxa" w:w="60"/>
              <w:left w:type="dxa" w:w="100"/>
              <w:bottom w:type="dxa" w:w="60"/>
              <w:right w:type="dxa" w:w="100"/>
            </w:tcMar>
          </w:tcPr>
          <w:p>
            <w:pPr>
              <w:jc w:val="right"/>
            </w:pPr>
            <w:r>
              <w:rPr>
                <w:sz w:val="20"/>
                <w:szCs w:val="20"/>
              </w:rPr>
              <w:t xml:space="preserve">₹12.71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May</w:t>
            </w:r>
          </w:p>
        </w:tc>
        <w:tc>
          <w:tcPr>
            <w:shd w:fill="F2F2F2" w:val="clear"/>
            <w:tcMar>
              <w:top w:type="dxa" w:w="60"/>
              <w:left w:type="dxa" w:w="100"/>
              <w:bottom w:type="dxa" w:w="60"/>
              <w:right w:type="dxa" w:w="100"/>
            </w:tcMar>
          </w:tcPr>
          <w:p>
            <w:pPr>
              <w:jc w:val="right"/>
            </w:pPr>
            <w:r>
              <w:rPr>
                <w:sz w:val="20"/>
                <w:szCs w:val="20"/>
              </w:rPr>
              <w:t xml:space="preserve">₹26,39,87,683</w:t>
            </w:r>
          </w:p>
        </w:tc>
        <w:tc>
          <w:tcPr>
            <w:shd w:fill="F2F2F2" w:val="clear"/>
            <w:tcMar>
              <w:top w:type="dxa" w:w="60"/>
              <w:left w:type="dxa" w:w="100"/>
              <w:bottom w:type="dxa" w:w="60"/>
              <w:right w:type="dxa" w:w="100"/>
            </w:tcMar>
          </w:tcPr>
          <w:p>
            <w:pPr>
              <w:jc w:val="right"/>
            </w:pPr>
            <w:r>
              <w:rPr>
                <w:sz w:val="20"/>
                <w:szCs w:val="20"/>
              </w:rPr>
              <w:t xml:space="preserve">₹26.40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tcMar>
              <w:top w:type="dxa" w:w="60"/>
              <w:left w:type="dxa" w:w="100"/>
              <w:bottom w:type="dxa" w:w="60"/>
              <w:right w:type="dxa" w:w="100"/>
            </w:tcMar>
          </w:tcPr>
          <w:p>
            <w:pPr>
              <w:jc w:val="left"/>
            </w:pPr>
            <w:r>
              <w:rPr>
                <w:sz w:val="20"/>
                <w:szCs w:val="20"/>
              </w:rPr>
              <w:t xml:space="preserve">Jun</w:t>
            </w:r>
          </w:p>
        </w:tc>
        <w:tc>
          <w:tcPr>
            <w:tcMar>
              <w:top w:type="dxa" w:w="60"/>
              <w:left w:type="dxa" w:w="100"/>
              <w:bottom w:type="dxa" w:w="60"/>
              <w:right w:type="dxa" w:w="100"/>
            </w:tcMar>
          </w:tcPr>
          <w:p>
            <w:pPr>
              <w:jc w:val="right"/>
            </w:pPr>
            <w:r>
              <w:rPr>
                <w:sz w:val="20"/>
                <w:szCs w:val="20"/>
              </w:rPr>
              <w:t xml:space="preserve">₹29,72,80,519</w:t>
            </w:r>
          </w:p>
        </w:tc>
        <w:tc>
          <w:tcPr>
            <w:tcMar>
              <w:top w:type="dxa" w:w="60"/>
              <w:left w:type="dxa" w:w="100"/>
              <w:bottom w:type="dxa" w:w="60"/>
              <w:right w:type="dxa" w:w="100"/>
            </w:tcMar>
          </w:tcPr>
          <w:p>
            <w:pPr>
              <w:jc w:val="right"/>
            </w:pPr>
            <w:r>
              <w:rPr>
                <w:sz w:val="20"/>
                <w:szCs w:val="20"/>
              </w:rPr>
              <w:t xml:space="preserve">₹29.73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Jul</w:t>
            </w:r>
          </w:p>
        </w:tc>
        <w:tc>
          <w:tcPr>
            <w:shd w:fill="F2F2F2" w:val="clear"/>
            <w:tcMar>
              <w:top w:type="dxa" w:w="60"/>
              <w:left w:type="dxa" w:w="100"/>
              <w:bottom w:type="dxa" w:w="60"/>
              <w:right w:type="dxa" w:w="100"/>
            </w:tcMar>
          </w:tcPr>
          <w:p>
            <w:pPr>
              <w:jc w:val="right"/>
            </w:pPr>
            <w:r>
              <w:rPr>
                <w:sz w:val="20"/>
                <w:szCs w:val="20"/>
              </w:rPr>
              <w:t xml:space="preserve">₹24,48,93,404</w:t>
            </w:r>
          </w:p>
        </w:tc>
        <w:tc>
          <w:tcPr>
            <w:shd w:fill="F2F2F2" w:val="clear"/>
            <w:tcMar>
              <w:top w:type="dxa" w:w="60"/>
              <w:left w:type="dxa" w:w="100"/>
              <w:bottom w:type="dxa" w:w="60"/>
              <w:right w:type="dxa" w:w="100"/>
            </w:tcMar>
          </w:tcPr>
          <w:p>
            <w:pPr>
              <w:jc w:val="right"/>
            </w:pPr>
            <w:r>
              <w:rPr>
                <w:sz w:val="20"/>
                <w:szCs w:val="20"/>
              </w:rPr>
              <w:t xml:space="preserve">₹24.49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tcMar>
              <w:top w:type="dxa" w:w="60"/>
              <w:left w:type="dxa" w:w="100"/>
              <w:bottom w:type="dxa" w:w="60"/>
              <w:right w:type="dxa" w:w="100"/>
            </w:tcMar>
          </w:tcPr>
          <w:p>
            <w:pPr>
              <w:jc w:val="left"/>
            </w:pPr>
            <w:r>
              <w:rPr>
                <w:sz w:val="20"/>
                <w:szCs w:val="20"/>
              </w:rPr>
              <w:t xml:space="preserve">Aug</w:t>
            </w:r>
          </w:p>
        </w:tc>
        <w:tc>
          <w:tcPr>
            <w:tcMar>
              <w:top w:type="dxa" w:w="60"/>
              <w:left w:type="dxa" w:w="100"/>
              <w:bottom w:type="dxa" w:w="60"/>
              <w:right w:type="dxa" w:w="100"/>
            </w:tcMar>
          </w:tcPr>
          <w:p>
            <w:pPr>
              <w:jc w:val="right"/>
            </w:pPr>
            <w:r>
              <w:rPr>
                <w:sz w:val="20"/>
                <w:szCs w:val="20"/>
              </w:rPr>
              <w:t xml:space="preserve">₹24,01,46,868</w:t>
            </w:r>
          </w:p>
        </w:tc>
        <w:tc>
          <w:tcPr>
            <w:tcMar>
              <w:top w:type="dxa" w:w="60"/>
              <w:left w:type="dxa" w:w="100"/>
              <w:bottom w:type="dxa" w:w="60"/>
              <w:right w:type="dxa" w:w="100"/>
            </w:tcMar>
          </w:tcPr>
          <w:p>
            <w:pPr>
              <w:jc w:val="right"/>
            </w:pPr>
            <w:r>
              <w:rPr>
                <w:sz w:val="20"/>
                <w:szCs w:val="20"/>
              </w:rPr>
              <w:t xml:space="preserve">₹24.01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Sep</w:t>
            </w:r>
          </w:p>
        </w:tc>
        <w:tc>
          <w:tcPr>
            <w:shd w:fill="F2F2F2" w:val="clear"/>
            <w:tcMar>
              <w:top w:type="dxa" w:w="60"/>
              <w:left w:type="dxa" w:w="100"/>
              <w:bottom w:type="dxa" w:w="60"/>
              <w:right w:type="dxa" w:w="100"/>
            </w:tcMar>
          </w:tcPr>
          <w:p>
            <w:pPr>
              <w:jc w:val="right"/>
            </w:pPr>
            <w:r>
              <w:rPr>
                <w:sz w:val="20"/>
                <w:szCs w:val="20"/>
              </w:rPr>
              <w:t xml:space="preserve">₹24,15,24,486</w:t>
            </w:r>
          </w:p>
        </w:tc>
        <w:tc>
          <w:tcPr>
            <w:shd w:fill="F2F2F2" w:val="clear"/>
            <w:tcMar>
              <w:top w:type="dxa" w:w="60"/>
              <w:left w:type="dxa" w:w="100"/>
              <w:bottom w:type="dxa" w:w="60"/>
              <w:right w:type="dxa" w:w="100"/>
            </w:tcMar>
          </w:tcPr>
          <w:p>
            <w:pPr>
              <w:jc w:val="right"/>
            </w:pPr>
            <w:r>
              <w:rPr>
                <w:sz w:val="20"/>
                <w:szCs w:val="20"/>
              </w:rPr>
              <w:t xml:space="preserve">₹24.15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tcMar>
              <w:top w:type="dxa" w:w="60"/>
              <w:left w:type="dxa" w:w="100"/>
              <w:bottom w:type="dxa" w:w="60"/>
              <w:right w:type="dxa" w:w="100"/>
            </w:tcMar>
          </w:tcPr>
          <w:p>
            <w:pPr>
              <w:jc w:val="left"/>
            </w:pPr>
            <w:r>
              <w:rPr>
                <w:sz w:val="20"/>
                <w:szCs w:val="20"/>
              </w:rPr>
              <w:t xml:space="preserve">Oct</w:t>
            </w:r>
          </w:p>
        </w:tc>
        <w:tc>
          <w:tcPr>
            <w:tcMar>
              <w:top w:type="dxa" w:w="60"/>
              <w:left w:type="dxa" w:w="100"/>
              <w:bottom w:type="dxa" w:w="60"/>
              <w:right w:type="dxa" w:w="100"/>
            </w:tcMar>
          </w:tcPr>
          <w:p>
            <w:pPr>
              <w:jc w:val="right"/>
            </w:pPr>
            <w:r>
              <w:rPr>
                <w:sz w:val="20"/>
                <w:szCs w:val="20"/>
              </w:rPr>
              <w:t xml:space="preserve">₹22,80,86,733</w:t>
            </w:r>
          </w:p>
        </w:tc>
        <w:tc>
          <w:tcPr>
            <w:tcMar>
              <w:top w:type="dxa" w:w="60"/>
              <w:left w:type="dxa" w:w="100"/>
              <w:bottom w:type="dxa" w:w="60"/>
              <w:right w:type="dxa" w:w="100"/>
            </w:tcMar>
          </w:tcPr>
          <w:p>
            <w:pPr>
              <w:jc w:val="right"/>
            </w:pPr>
            <w:r>
              <w:rPr>
                <w:sz w:val="20"/>
                <w:szCs w:val="20"/>
              </w:rPr>
              <w:t xml:space="preserve">₹22.81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Nov</w:t>
            </w:r>
          </w:p>
        </w:tc>
        <w:tc>
          <w:tcPr>
            <w:shd w:fill="F2F2F2" w:val="clear"/>
            <w:tcMar>
              <w:top w:type="dxa" w:w="60"/>
              <w:left w:type="dxa" w:w="100"/>
              <w:bottom w:type="dxa" w:w="60"/>
              <w:right w:type="dxa" w:w="100"/>
            </w:tcMar>
          </w:tcPr>
          <w:p>
            <w:pPr>
              <w:jc w:val="right"/>
            </w:pPr>
            <w:r>
              <w:rPr>
                <w:sz w:val="20"/>
                <w:szCs w:val="20"/>
              </w:rPr>
              <w:t xml:space="preserve">₹33,43,29,902</w:t>
            </w:r>
          </w:p>
        </w:tc>
        <w:tc>
          <w:tcPr>
            <w:shd w:fill="F2F2F2" w:val="clear"/>
            <w:tcMar>
              <w:top w:type="dxa" w:w="60"/>
              <w:left w:type="dxa" w:w="100"/>
              <w:bottom w:type="dxa" w:w="60"/>
              <w:right w:type="dxa" w:w="100"/>
            </w:tcMar>
          </w:tcPr>
          <w:p>
            <w:pPr>
              <w:jc w:val="right"/>
            </w:pPr>
            <w:r>
              <w:rPr>
                <w:sz w:val="20"/>
                <w:szCs w:val="20"/>
              </w:rPr>
              <w:t xml:space="preserve">₹33.43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tcMar>
              <w:top w:type="dxa" w:w="60"/>
              <w:left w:type="dxa" w:w="100"/>
              <w:bottom w:type="dxa" w:w="60"/>
              <w:right w:type="dxa" w:w="100"/>
            </w:tcMar>
          </w:tcPr>
          <w:p>
            <w:pPr>
              <w:jc w:val="left"/>
            </w:pPr>
            <w:r>
              <w:rPr>
                <w:sz w:val="20"/>
                <w:szCs w:val="20"/>
              </w:rPr>
              <w:t xml:space="preserve">Dec</w:t>
            </w:r>
          </w:p>
        </w:tc>
        <w:tc>
          <w:tcPr>
            <w:tcMar>
              <w:top w:type="dxa" w:w="60"/>
              <w:left w:type="dxa" w:w="100"/>
              <w:bottom w:type="dxa" w:w="60"/>
              <w:right w:type="dxa" w:w="100"/>
            </w:tcMar>
          </w:tcPr>
          <w:p>
            <w:pPr>
              <w:jc w:val="right"/>
            </w:pPr>
            <w:r>
              <w:rPr>
                <w:sz w:val="20"/>
                <w:szCs w:val="20"/>
              </w:rPr>
              <w:t xml:space="preserve">₹32,37,13,408</w:t>
            </w:r>
          </w:p>
        </w:tc>
        <w:tc>
          <w:tcPr>
            <w:tcMar>
              <w:top w:type="dxa" w:w="60"/>
              <w:left w:type="dxa" w:w="100"/>
              <w:bottom w:type="dxa" w:w="60"/>
              <w:right w:type="dxa" w:w="100"/>
            </w:tcMar>
          </w:tcPr>
          <w:p>
            <w:pPr>
              <w:jc w:val="right"/>
            </w:pPr>
            <w:r>
              <w:rPr>
                <w:sz w:val="20"/>
                <w:szCs w:val="20"/>
              </w:rPr>
              <w:t xml:space="preserve">₹32.37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Jan</w:t>
            </w:r>
          </w:p>
        </w:tc>
        <w:tc>
          <w:tcPr>
            <w:shd w:fill="F2F2F2" w:val="clear"/>
            <w:tcMar>
              <w:top w:type="dxa" w:w="60"/>
              <w:left w:type="dxa" w:w="100"/>
              <w:bottom w:type="dxa" w:w="60"/>
              <w:right w:type="dxa" w:w="100"/>
            </w:tcMar>
          </w:tcPr>
          <w:p>
            <w:pPr>
              <w:jc w:val="right"/>
            </w:pPr>
            <w:r>
              <w:rPr>
                <w:sz w:val="20"/>
                <w:szCs w:val="20"/>
              </w:rPr>
              <w:t xml:space="preserve">₹28,91,89,077</w:t>
            </w:r>
          </w:p>
        </w:tc>
        <w:tc>
          <w:tcPr>
            <w:shd w:fill="F2F2F2" w:val="clear"/>
            <w:tcMar>
              <w:top w:type="dxa" w:w="60"/>
              <w:left w:type="dxa" w:w="100"/>
              <w:bottom w:type="dxa" w:w="60"/>
              <w:right w:type="dxa" w:w="100"/>
            </w:tcMar>
          </w:tcPr>
          <w:p>
            <w:pPr>
              <w:jc w:val="right"/>
            </w:pPr>
            <w:r>
              <w:rPr>
                <w:sz w:val="20"/>
                <w:szCs w:val="20"/>
              </w:rPr>
              <w:t xml:space="preserve">₹28.92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tcMar>
              <w:top w:type="dxa" w:w="60"/>
              <w:left w:type="dxa" w:w="100"/>
              <w:bottom w:type="dxa" w:w="60"/>
              <w:right w:type="dxa" w:w="100"/>
            </w:tcMar>
          </w:tcPr>
          <w:p>
            <w:pPr>
              <w:jc w:val="left"/>
            </w:pPr>
            <w:r>
              <w:rPr>
                <w:sz w:val="20"/>
                <w:szCs w:val="20"/>
              </w:rPr>
              <w:t xml:space="preserve">Feb</w:t>
            </w:r>
          </w:p>
        </w:tc>
        <w:tc>
          <w:tcPr>
            <w:tcMar>
              <w:top w:type="dxa" w:w="60"/>
              <w:left w:type="dxa" w:w="100"/>
              <w:bottom w:type="dxa" w:w="60"/>
              <w:right w:type="dxa" w:w="100"/>
            </w:tcMar>
          </w:tcPr>
          <w:p>
            <w:pPr>
              <w:jc w:val="right"/>
            </w:pPr>
            <w:r>
              <w:rPr>
                <w:sz w:val="20"/>
                <w:szCs w:val="20"/>
              </w:rPr>
              <w:t xml:space="preserve">₹32,45,21,028</w:t>
            </w:r>
          </w:p>
        </w:tc>
        <w:tc>
          <w:tcPr>
            <w:tcMar>
              <w:top w:type="dxa" w:w="60"/>
              <w:left w:type="dxa" w:w="100"/>
              <w:bottom w:type="dxa" w:w="60"/>
              <w:right w:type="dxa" w:w="100"/>
            </w:tcMar>
          </w:tcPr>
          <w:p>
            <w:pPr>
              <w:jc w:val="right"/>
            </w:pPr>
            <w:r>
              <w:rPr>
                <w:sz w:val="20"/>
                <w:szCs w:val="20"/>
              </w:rPr>
              <w:t xml:space="preserve">₹32.45 Cr</w:t>
            </w:r>
          </w:p>
        </w:tc>
        <w:tc>
          <w:tcPr>
            <w:tcMar>
              <w:top w:type="dxa" w:w="60"/>
              <w:left w:type="dxa" w:w="100"/>
              <w:bottom w:type="dxa" w:w="60"/>
              <w:right w:type="dxa" w:w="100"/>
            </w:tcMar>
          </w:tcPr>
          <w:p>
            <w:pPr>
              <w:jc w:val="left"/>
            </w:pPr>
            <w:r>
              <w:rPr>
                <w:sz w:val="20"/>
                <w:szCs w:val="20"/>
              </w:rPr>
              <w:t xml:space="preserve">YES — SALE tab, PRODUCT_GROUP rows</w:t>
            </w:r>
          </w:p>
        </w:tc>
      </w:tr>
      <w:tr>
        <w:tc>
          <w:tcPr>
            <w:shd w:fill="F2F2F2" w:val="clear"/>
            <w:tcMar>
              <w:top w:type="dxa" w:w="60"/>
              <w:left w:type="dxa" w:w="100"/>
              <w:bottom w:type="dxa" w:w="60"/>
              <w:right w:type="dxa" w:w="100"/>
            </w:tcMar>
          </w:tcPr>
          <w:p>
            <w:pPr>
              <w:jc w:val="left"/>
            </w:pPr>
            <w:r>
              <w:rPr>
                <w:sz w:val="20"/>
                <w:szCs w:val="20"/>
              </w:rPr>
              <w:t xml:space="preserve">Mar</w:t>
            </w:r>
          </w:p>
        </w:tc>
        <w:tc>
          <w:tcPr>
            <w:shd w:fill="F2F2F2" w:val="clear"/>
            <w:tcMar>
              <w:top w:type="dxa" w:w="60"/>
              <w:left w:type="dxa" w:w="100"/>
              <w:bottom w:type="dxa" w:w="60"/>
              <w:right w:type="dxa" w:w="100"/>
            </w:tcMar>
          </w:tcPr>
          <w:p>
            <w:pPr>
              <w:jc w:val="right"/>
            </w:pPr>
            <w:r>
              <w:rPr>
                <w:sz w:val="20"/>
                <w:szCs w:val="20"/>
              </w:rPr>
              <w:t xml:space="preserve">₹50,25,74,533</w:t>
            </w:r>
          </w:p>
        </w:tc>
        <w:tc>
          <w:tcPr>
            <w:shd w:fill="F2F2F2" w:val="clear"/>
            <w:tcMar>
              <w:top w:type="dxa" w:w="60"/>
              <w:left w:type="dxa" w:w="100"/>
              <w:bottom w:type="dxa" w:w="60"/>
              <w:right w:type="dxa" w:w="100"/>
            </w:tcMar>
          </w:tcPr>
          <w:p>
            <w:pPr>
              <w:jc w:val="right"/>
            </w:pPr>
            <w:r>
              <w:rPr>
                <w:sz w:val="20"/>
                <w:szCs w:val="20"/>
              </w:rPr>
              <w:t xml:space="preserve">₹50.26 Cr</w:t>
            </w:r>
          </w:p>
        </w:tc>
        <w:tc>
          <w:tcPr>
            <w:shd w:fill="F2F2F2" w:val="clear"/>
            <w:tcMar>
              <w:top w:type="dxa" w:w="60"/>
              <w:left w:type="dxa" w:w="100"/>
              <w:bottom w:type="dxa" w:w="60"/>
              <w:right w:type="dxa" w:w="100"/>
            </w:tcMar>
          </w:tcPr>
          <w:p>
            <w:pPr>
              <w:jc w:val="left"/>
            </w:pPr>
            <w:r>
              <w:rPr>
                <w:sz w:val="20"/>
                <w:szCs w:val="20"/>
              </w:rPr>
              <w:t xml:space="preserve">YES — SALE tab, PRODUCT_GROUP rows</w:t>
            </w:r>
          </w:p>
        </w:tc>
      </w:tr>
      <w:tr>
        <w:tc>
          <w:tcPr>
            <w:shd w:fill="BDD7EE" w:val="clear"/>
            <w:tcMar>
              <w:top w:type="dxa" w:w="60"/>
              <w:left w:type="dxa" w:w="100"/>
              <w:bottom w:type="dxa" w:w="60"/>
              <w:right w:type="dxa" w:w="100"/>
            </w:tcMar>
          </w:tcPr>
          <w:p>
            <w:pPr>
              <w:jc w:val="left"/>
            </w:pPr>
            <w:r>
              <w:rPr>
                <w:b/>
                <w:bCs/>
                <w:sz w:val="20"/>
                <w:szCs w:val="20"/>
              </w:rPr>
              <w:t xml:space="preserve">TOTAL (all 12 months)</w:t>
            </w:r>
          </w:p>
        </w:tc>
        <w:tc>
          <w:tcPr>
            <w:shd w:fill="BDD7EE" w:val="clear"/>
            <w:tcMar>
              <w:top w:type="dxa" w:w="60"/>
              <w:left w:type="dxa" w:w="100"/>
              <w:bottom w:type="dxa" w:w="60"/>
              <w:right w:type="dxa" w:w="100"/>
            </w:tcMar>
          </w:tcPr>
          <w:p>
            <w:pPr>
              <w:jc w:val="right"/>
            </w:pPr>
            <w:r>
              <w:rPr>
                <w:b/>
                <w:bCs/>
                <w:sz w:val="20"/>
                <w:szCs w:val="20"/>
              </w:rPr>
              <w:t xml:space="preserve">₹3,41,73,11,917</w:t>
            </w:r>
          </w:p>
        </w:tc>
        <w:tc>
          <w:tcPr>
            <w:shd w:fill="BDD7EE" w:val="clear"/>
            <w:tcMar>
              <w:top w:type="dxa" w:w="60"/>
              <w:left w:type="dxa" w:w="100"/>
              <w:bottom w:type="dxa" w:w="60"/>
              <w:right w:type="dxa" w:w="100"/>
            </w:tcMar>
          </w:tcPr>
          <w:p>
            <w:pPr>
              <w:jc w:val="right"/>
            </w:pPr>
            <w:r>
              <w:rPr>
                <w:b/>
                <w:bCs/>
                <w:sz w:val="20"/>
                <w:szCs w:val="20"/>
              </w:rPr>
              <w:t xml:space="preserve">₹341.73 Cr</w:t>
            </w:r>
          </w:p>
        </w:tc>
        <w:tc>
          <w:tcPr>
            <w:shd w:fill="BDD7EE" w:val="clear"/>
            <w:tcMar>
              <w:top w:type="dxa" w:w="60"/>
              <w:left w:type="dxa" w:w="100"/>
              <w:bottom w:type="dxa" w:w="60"/>
              <w:right w:type="dxa" w:w="100"/>
            </w:tcMar>
          </w:tcPr>
          <w:p>
            <w:pPr>
              <w:jc w:val="left"/>
            </w:pPr>
            <w:r>
              <w:rPr>
                <w:sz w:val="20"/>
                <w:szCs w:val="20"/>
              </w:rPr>
              <w:t xml:space="preserve">Control total matches SALE tab grand sum</w:t>
            </w:r>
          </w:p>
        </w:tc>
      </w:tr>
    </w:tbl>
    <w:p>
      <w:pPr>
        <w:spacing w:after="100"/>
      </w:pPr>
    </w:p>
    <w:p>
      <w:pPr>
        <w:spacing w:after="80" w:before="80"/>
      </w:pPr>
      <w:r>
        <w:rPr>
          <w:b/>
          <w:bCs/>
          <w:sz w:val="22"/>
          <w:szCs w:val="22"/>
        </w:rPr>
        <w:t xml:space="preserve">Why Apr looks low: </w:t>
      </w:r>
      <w:r>
        <w:rPr>
          <w:sz w:val="22"/>
          <w:szCs w:val="22"/>
        </w:rPr>
        <w:t xml:space="preserve">Apr-24 covers the first month of a new financial year. Channel-fill orders typically accumulate from May onward, peaking sharply in Mar (year-end push). The Apr figure is genuine, not a gap.</w:t>
      </w:r>
    </w:p>
    <w:p>
      <w:pPr>
        <w:spacing w:after="40" w:before="40"/>
      </w:pPr>
      <w:r>
        <w:rPr>
          <w:b/>
          <w:bCs/>
          <w:sz w:val="22"/>
          <w:szCs w:val="22"/>
        </w:rPr>
        <w:t xml:space="preserve">Control total: </w:t>
      </w:r>
      <w:r>
        <w:rPr>
          <w:sz w:val="22"/>
          <w:szCs w:val="22"/>
        </w:rPr>
        <w:t xml:space="preserve">₹341.73 Cr (₹3,417,311,917). This matches the replit.md anchor for this workbook.</w:t>
      </w:r>
    </w:p>
    <w:p>
      <w:pPr>
        <w:spacing w:after="100"/>
      </w:pPr>
    </w:p>
    <w:p>
      <w:pPr>
        <w:pStyle w:val="Heading1"/>
        <w:spacing w:after="120" w:before="360"/>
      </w:pPr>
      <w:r>
        <w:t xml:space="preserve">2.  Overview Card — Measure and Source</w:t>
      </w:r>
    </w:p>
    <w:p>
      <w:pPr>
        <w:spacing w:after="40" w:before="40"/>
      </w:pPr>
      <w:r>
        <w:rPr>
          <w:sz w:val="22"/>
          <w:szCs w:val="22"/>
        </w:rPr>
        <w:t xml:space="preserve">The Overview page shows five KPI cards and two charts. The table below lists each card, the exact field(s) the frontend reads, what it measures, and which workbook tab is the ultimate source.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D9E2F3" w:val="clear"/>
            <w:tcMar>
              <w:top w:type="dxa" w:w="60"/>
              <w:left w:type="dxa" w:w="100"/>
              <w:bottom w:type="dxa" w:w="60"/>
              <w:right w:type="dxa" w:w="100"/>
            </w:tcMar>
          </w:tcPr>
          <w:p>
            <w:pPr>
              <w:jc w:val="left"/>
            </w:pPr>
            <w:r>
              <w:rPr>
                <w:b/>
                <w:bCs/>
                <w:sz w:val="20"/>
                <w:szCs w:val="20"/>
              </w:rPr>
              <w:t xml:space="preserve">Card title</w:t>
            </w:r>
          </w:p>
        </w:tc>
        <w:tc>
          <w:tcPr>
            <w:tcW w:type="pct" w:w="22%"/>
            <w:shd w:fill="D9E2F3" w:val="clear"/>
            <w:tcMar>
              <w:top w:type="dxa" w:w="60"/>
              <w:left w:type="dxa" w:w="100"/>
              <w:bottom w:type="dxa" w:w="60"/>
              <w:right w:type="dxa" w:w="100"/>
            </w:tcMar>
          </w:tcPr>
          <w:p>
            <w:pPr>
              <w:jc w:val="left"/>
            </w:pPr>
            <w:r>
              <w:rPr>
                <w:b/>
                <w:bCs/>
                <w:sz w:val="20"/>
                <w:szCs w:val="20"/>
              </w:rPr>
              <w:t xml:space="preserve">Field(s) read</w:t>
            </w:r>
          </w:p>
        </w:tc>
        <w:tc>
          <w:tcPr>
            <w:tcW w:type="pct" w:w="15%"/>
            <w:shd w:fill="D9E2F3" w:val="clear"/>
            <w:tcMar>
              <w:top w:type="dxa" w:w="60"/>
              <w:left w:type="dxa" w:w="100"/>
              <w:bottom w:type="dxa" w:w="60"/>
              <w:right w:type="dxa" w:w="100"/>
            </w:tcMar>
          </w:tcPr>
          <w:p>
            <w:pPr>
              <w:jc w:val="left"/>
            </w:pPr>
            <w:r>
              <w:rPr>
                <w:b/>
                <w:bCs/>
                <w:sz w:val="20"/>
                <w:szCs w:val="20"/>
              </w:rPr>
              <w:t xml:space="preserve">Measure</w:t>
            </w:r>
          </w:p>
        </w:tc>
        <w:tc>
          <w:tcPr>
            <w:tcW w:type="pct" w:w="27%"/>
            <w:shd w:fill="D9E2F3" w:val="clear"/>
            <w:tcMar>
              <w:top w:type="dxa" w:w="60"/>
              <w:left w:type="dxa" w:w="100"/>
              <w:bottom w:type="dxa" w:w="60"/>
              <w:right w:type="dxa" w:w="100"/>
            </w:tcMar>
          </w:tcPr>
          <w:p>
            <w:pPr>
              <w:jc w:val="left"/>
            </w:pPr>
            <w:r>
              <w:rPr>
                <w:b/>
                <w:bCs/>
                <w:sz w:val="20"/>
                <w:szCs w:val="20"/>
              </w:rPr>
              <w:t xml:space="preserve">Live source workbook / tab</w:t>
            </w:r>
          </w:p>
        </w:tc>
        <w:tc>
          <w:tcPr>
            <w:tcW w:type="pct" w:w="18%"/>
            <w:shd w:fill="D9E2F3" w:val="clear"/>
            <w:tcMar>
              <w:top w:type="dxa" w:w="60"/>
              <w:left w:type="dxa" w:w="100"/>
              <w:bottom w:type="dxa" w:w="60"/>
              <w:right w:type="dxa" w:w="100"/>
            </w:tcMar>
          </w:tcPr>
          <w:p>
            <w:pPr>
              <w:jc w:val="left"/>
            </w:pPr>
            <w:r>
              <w:rPr>
                <w:b/>
                <w:bCs/>
                <w:sz w:val="20"/>
                <w:szCs w:val="20"/>
              </w:rPr>
              <w:t xml:space="preserve">Notes</w:t>
            </w:r>
          </w:p>
        </w:tc>
      </w:tr>
      <w:tr>
        <w:tc>
          <w:tcPr>
            <w:tcMar>
              <w:top w:type="dxa" w:w="60"/>
              <w:left w:type="dxa" w:w="100"/>
              <w:bottom w:type="dxa" w:w="60"/>
              <w:right w:type="dxa" w:w="100"/>
            </w:tcMar>
          </w:tcPr>
          <w:p>
            <w:pPr>
              <w:jc w:val="left"/>
            </w:pPr>
            <w:r>
              <w:rPr>
                <w:sz w:val="20"/>
                <w:szCs w:val="20"/>
              </w:rPr>
              <w:t xml:space="preserve">FY24-25 Total Sales</w:t>
            </w:r>
          </w:p>
        </w:tc>
        <w:tc>
          <w:tcPr>
            <w:tcMar>
              <w:top w:type="dxa" w:w="60"/>
              <w:left w:type="dxa" w:w="100"/>
              <w:bottom w:type="dxa" w:w="60"/>
              <w:right w:type="dxa" w:w="100"/>
            </w:tcMar>
          </w:tcPr>
          <w:p>
            <w:pPr>
              <w:jc w:val="left"/>
            </w:pPr>
            <w:r>
              <w:rPr>
                <w:sz w:val="20"/>
                <w:szCs w:val="20"/>
              </w:rPr>
              <w:t xml:space="preserve">data.totals.fy2425_sales_inr</w:t>
            </w:r>
          </w:p>
        </w:tc>
        <w:tc>
          <w:tcPr>
            <w:tcMar>
              <w:top w:type="dxa" w:w="60"/>
              <w:left w:type="dxa" w:w="100"/>
              <w:bottom w:type="dxa" w:w="60"/>
              <w:right w:type="dxa" w:w="100"/>
            </w:tcMar>
          </w:tcPr>
          <w:p>
            <w:pPr>
              <w:jc w:val="left"/>
            </w:pPr>
            <w:r>
              <w:rPr>
                <w:sz w:val="20"/>
                <w:szCs w:val="20"/>
              </w:rPr>
              <w:t xml:space="preserve">Annual primary sales (INR)</w:t>
            </w:r>
          </w:p>
        </w:tc>
        <w:tc>
          <w:tcPr>
            <w:tcMar>
              <w:top w:type="dxa" w:w="60"/>
              <w:left w:type="dxa" w:w="100"/>
              <w:bottom w:type="dxa" w:w="60"/>
              <w:right w:type="dxa" w:w="100"/>
            </w:tcMar>
          </w:tcPr>
          <w:p>
            <w:pPr>
              <w:jc w:val="left"/>
            </w:pPr>
            <w:r>
              <w:rPr>
                <w:sz w:val="20"/>
                <w:szCs w:val="20"/>
              </w:rPr>
              <w:t xml:space="preserve">Item-wise Product Sales (FY2024-25)
Tab: SALE
Cols C–N = Apr–Mar</w:t>
            </w:r>
          </w:p>
        </w:tc>
        <w:tc>
          <w:tcPr>
            <w:tcMar>
              <w:top w:type="dxa" w:w="60"/>
              <w:left w:type="dxa" w:w="100"/>
              <w:bottom w:type="dxa" w:w="60"/>
              <w:right w:type="dxa" w:w="100"/>
            </w:tcMar>
          </w:tcPr>
          <w:p>
            <w:pPr>
              <w:jc w:val="left"/>
            </w:pPr>
            <w:r>
              <w:rPr>
                <w:sz w:val="20"/>
                <w:szCs w:val="20"/>
              </w:rPr>
              <w:t xml:space="preserve">buildFy2425(). PRODUCT_GROUP-mapped product rows only; subtotal / non-product rows excluded. Seed baseline ₹341.73 Cr. Updates on each Sheets sync.</w:t>
            </w:r>
          </w:p>
        </w:tc>
      </w:tr>
      <w:tr>
        <w:tc>
          <w:tcPr>
            <w:shd w:fill="F2F2F2" w:val="clear"/>
            <w:tcMar>
              <w:top w:type="dxa" w:w="60"/>
              <w:left w:type="dxa" w:w="100"/>
              <w:bottom w:type="dxa" w:w="60"/>
              <w:right w:type="dxa" w:w="100"/>
            </w:tcMar>
          </w:tcPr>
          <w:p>
            <w:pPr>
              <w:jc w:val="left"/>
            </w:pPr>
            <w:r>
              <w:rPr>
                <w:sz w:val="20"/>
                <w:szCs w:val="20"/>
              </w:rPr>
              <w:t xml:space="preserve">FY25-26 Total Sales</w:t>
            </w:r>
          </w:p>
        </w:tc>
        <w:tc>
          <w:tcPr>
            <w:shd w:fill="F2F2F2" w:val="clear"/>
            <w:tcMar>
              <w:top w:type="dxa" w:w="60"/>
              <w:left w:type="dxa" w:w="100"/>
              <w:bottom w:type="dxa" w:w="60"/>
              <w:right w:type="dxa" w:w="100"/>
            </w:tcMar>
          </w:tcPr>
          <w:p>
            <w:pPr>
              <w:jc w:val="left"/>
            </w:pPr>
            <w:r>
              <w:rPr>
                <w:sz w:val="20"/>
                <w:szCs w:val="20"/>
              </w:rPr>
              <w:t xml:space="preserve">analytics.months[].amount (UI sum)</w:t>
            </w:r>
          </w:p>
        </w:tc>
        <w:tc>
          <w:tcPr>
            <w:shd w:fill="F2F2F2" w:val="clear"/>
            <w:tcMar>
              <w:top w:type="dxa" w:w="60"/>
              <w:left w:type="dxa" w:w="100"/>
              <w:bottom w:type="dxa" w:w="60"/>
              <w:right w:type="dxa" w:w="100"/>
            </w:tcMar>
          </w:tcPr>
          <w:p>
            <w:pPr>
              <w:jc w:val="left"/>
            </w:pPr>
            <w:r>
              <w:rPr>
                <w:sz w:val="20"/>
                <w:szCs w:val="20"/>
              </w:rPr>
              <w:t xml:space="preserve">Sum of monthly net sales (INR)</w:t>
            </w:r>
          </w:p>
        </w:tc>
        <w:tc>
          <w:tcPr>
            <w:shd w:fill="F2F2F2" w:val="clear"/>
            <w:tcMar>
              <w:top w:type="dxa" w:w="60"/>
              <w:left w:type="dxa" w:w="100"/>
              <w:bottom w:type="dxa" w:w="60"/>
              <w:right w:type="dxa" w:w="100"/>
            </w:tcMar>
          </w:tcPr>
          <w:p>
            <w:pPr>
              <w:jc w:val="left"/>
            </w:pPr>
            <w:r>
              <w:rPr>
                <w:sz w:val="20"/>
                <w:szCs w:val="20"/>
              </w:rPr>
              <w:t xml:space="preserve">PostgreSQL sale_line table
GET /api/analytics?fy=2025-26</w:t>
            </w:r>
          </w:p>
        </w:tc>
        <w:tc>
          <w:tcPr>
            <w:shd w:fill="F2F2F2" w:val="clear"/>
            <w:tcMar>
              <w:top w:type="dxa" w:w="60"/>
              <w:left w:type="dxa" w:w="100"/>
              <w:bottom w:type="dxa" w:w="60"/>
              <w:right w:type="dxa" w:w="100"/>
            </w:tcMar>
          </w:tcPr>
          <w:p>
            <w:pPr>
              <w:jc w:val="left"/>
            </w:pPr>
            <w:r>
              <w:rPr>
                <w:sz w:val="20"/>
                <w:szCs w:val="20"/>
              </w:rPr>
              <w:t xml:space="preserve">Fetched via analytics endpoint, not the dashboard snapshot. Shows '—' while loading. Complete-months filter does NOT apply here — all 12 months summed (FY is closed).</w:t>
            </w:r>
          </w:p>
        </w:tc>
      </w:tr>
      <w:tr>
        <w:tc>
          <w:tcPr>
            <w:tcMar>
              <w:top w:type="dxa" w:w="60"/>
              <w:left w:type="dxa" w:w="100"/>
              <w:bottom w:type="dxa" w:w="60"/>
              <w:right w:type="dxa" w:w="100"/>
            </w:tcMar>
          </w:tcPr>
          <w:p>
            <w:pPr>
              <w:jc w:val="left"/>
            </w:pPr>
            <w:r>
              <w:rPr>
                <w:sz w:val="20"/>
                <w:szCs w:val="20"/>
              </w:rPr>
              <w:t xml:space="preserve">Orders YTD (FY26-27)</w:t>
            </w:r>
          </w:p>
        </w:tc>
        <w:tc>
          <w:tcPr>
            <w:tcMar>
              <w:top w:type="dxa" w:w="60"/>
              <w:left w:type="dxa" w:w="100"/>
              <w:bottom w:type="dxa" w:w="60"/>
              <w:right w:type="dxa" w:w="100"/>
            </w:tcMar>
          </w:tcPr>
          <w:p>
            <w:pPr>
              <w:jc w:val="left"/>
            </w:pPr>
            <w:r>
              <w:rPr>
                <w:sz w:val="20"/>
                <w:szCs w:val="20"/>
              </w:rPr>
              <w:t xml:space="preserve">data.totals.orders_fy2627_ytd_cr</w:t>
            </w:r>
          </w:p>
        </w:tc>
        <w:tc>
          <w:tcPr>
            <w:tcMar>
              <w:top w:type="dxa" w:w="60"/>
              <w:left w:type="dxa" w:w="100"/>
              <w:bottom w:type="dxa" w:w="60"/>
              <w:right w:type="dxa" w:w="100"/>
            </w:tcMar>
          </w:tcPr>
          <w:p>
            <w:pPr>
              <w:jc w:val="left"/>
            </w:pPr>
            <w:r>
              <w:rPr>
                <w:sz w:val="20"/>
                <w:szCs w:val="20"/>
              </w:rPr>
              <w:t xml:space="preserve">YTD order booking (₹ Cr)</w:t>
            </w:r>
          </w:p>
        </w:tc>
        <w:tc>
          <w:tcPr>
            <w:tcMar>
              <w:top w:type="dxa" w:w="60"/>
              <w:left w:type="dxa" w:w="100"/>
              <w:bottom w:type="dxa" w:w="60"/>
              <w:right w:type="dxa" w:w="100"/>
            </w:tcMar>
          </w:tcPr>
          <w:p>
            <w:pPr>
              <w:jc w:val="left"/>
            </w:pPr>
            <w:r>
              <w:rPr>
                <w:sz w:val="20"/>
                <w:szCs w:val="20"/>
              </w:rPr>
              <w:t xml:space="preserve">Order Book Workbook (FY2026-27)
Monthly tabs: Apr, May, Jun, Jul …
Col L = Taxable Value</w:t>
            </w:r>
          </w:p>
        </w:tc>
        <w:tc>
          <w:tcPr>
            <w:tcMar>
              <w:top w:type="dxa" w:w="60"/>
              <w:left w:type="dxa" w:w="100"/>
              <w:bottom w:type="dxa" w:w="60"/>
              <w:right w:type="dxa" w:w="100"/>
            </w:tcMar>
          </w:tcPr>
          <w:p>
            <w:pPr>
              <w:jc w:val="left"/>
            </w:pPr>
            <w:r>
              <w:rPr>
                <w:sz w:val="20"/>
                <w:szCs w:val="20"/>
              </w:rPr>
              <w:t xml:space="preserve">buildFromOrders(). Reads every tab whose name starts with a month name (excludes Combined, Index, LAST MONTH ORDER). Seed baseline ₹78.44 Cr; live value grows as months are added.</w:t>
            </w:r>
          </w:p>
        </w:tc>
      </w:tr>
      <w:tr>
        <w:tc>
          <w:tcPr>
            <w:shd w:fill="F2F2F2" w:val="clear"/>
            <w:tcMar>
              <w:top w:type="dxa" w:w="60"/>
              <w:left w:type="dxa" w:w="100"/>
              <w:bottom w:type="dxa" w:w="60"/>
              <w:right w:type="dxa" w:w="100"/>
            </w:tcMar>
          </w:tcPr>
          <w:p>
            <w:pPr>
              <w:jc w:val="left"/>
            </w:pPr>
            <w:r>
              <w:rPr>
                <w:sz w:val="20"/>
                <w:szCs w:val="20"/>
              </w:rPr>
              <w:t xml:space="preserve">Retailers</w:t>
            </w:r>
          </w:p>
        </w:tc>
        <w:tc>
          <w:tcPr>
            <w:shd w:fill="F2F2F2" w:val="clear"/>
            <w:tcMar>
              <w:top w:type="dxa" w:w="60"/>
              <w:left w:type="dxa" w:w="100"/>
              <w:bottom w:type="dxa" w:w="60"/>
              <w:right w:type="dxa" w:w="100"/>
            </w:tcMar>
          </w:tcPr>
          <w:p>
            <w:pPr>
              <w:jc w:val="left"/>
            </w:pPr>
            <w:r>
              <w:rPr>
                <w:sz w:val="20"/>
                <w:szCs w:val="20"/>
              </w:rPr>
              <w:t xml:space="preserve">data.totals.retailers (count)
data.totals.retailer_sales_inr (subtitle)</w:t>
            </w:r>
          </w:p>
        </w:tc>
        <w:tc>
          <w:tcPr>
            <w:shd w:fill="F2F2F2" w:val="clear"/>
            <w:tcMar>
              <w:top w:type="dxa" w:w="60"/>
              <w:left w:type="dxa" w:w="100"/>
              <w:bottom w:type="dxa" w:w="60"/>
              <w:right w:type="dxa" w:w="100"/>
            </w:tcMar>
          </w:tcPr>
          <w:p>
            <w:pPr>
              <w:jc w:val="left"/>
            </w:pPr>
            <w:r>
              <w:rPr>
                <w:sz w:val="20"/>
                <w:szCs w:val="20"/>
              </w:rPr>
              <w:t xml:space="preserve">Registered retailer count; secondary OB as subtitle</w:t>
            </w:r>
          </w:p>
        </w:tc>
        <w:tc>
          <w:tcPr>
            <w:shd w:fill="F2F2F2" w:val="clear"/>
            <w:tcMar>
              <w:top w:type="dxa" w:w="60"/>
              <w:left w:type="dxa" w:w="100"/>
              <w:bottom w:type="dxa" w:w="60"/>
              <w:right w:type="dxa" w:w="100"/>
            </w:tcMar>
          </w:tcPr>
          <w:p>
            <w:pPr>
              <w:jc w:val="left"/>
            </w:pPr>
            <w:r>
              <w:rPr>
                <w:sz w:val="20"/>
                <w:szCs w:val="20"/>
              </w:rPr>
              <w:t xml:space="preserve">Count: Retailer-Distributor Data workbook
Tab: Retailer — rows starting RET#
Sales: STATE HEAD DASHBOARD(2026-27)
Tab: SECONDARY ORDER BOOKING REPORT 2026-27
Col M (Order Booked 26-27), rows 7+</w:t>
            </w:r>
          </w:p>
        </w:tc>
        <w:tc>
          <w:tcPr>
            <w:shd w:fill="F2F2F2" w:val="clear"/>
            <w:tcMar>
              <w:top w:type="dxa" w:w="60"/>
              <w:left w:type="dxa" w:w="100"/>
              <w:bottom w:type="dxa" w:w="60"/>
              <w:right w:type="dxa" w:w="100"/>
            </w:tcMar>
          </w:tcPr>
          <w:p>
            <w:pPr>
              <w:jc w:val="left"/>
            </w:pPr>
            <w:r>
              <w:rPr>
                <w:sz w:val="20"/>
                <w:szCs w:val="20"/>
              </w:rPr>
              <w:t xml:space="preserve">Seed: 5,065 retailers, ₹37.02 Cr. retailer_sales_inr is the sum of secondary order value across all active members, NOT a shop-level sales figure.</w:t>
            </w:r>
          </w:p>
        </w:tc>
      </w:tr>
      <w:tr>
        <w:tc>
          <w:tcPr>
            <w:tcMar>
              <w:top w:type="dxa" w:w="60"/>
              <w:left w:type="dxa" w:w="100"/>
              <w:bottom w:type="dxa" w:w="60"/>
              <w:right w:type="dxa" w:w="100"/>
            </w:tcMar>
          </w:tcPr>
          <w:p>
            <w:pPr>
              <w:jc w:val="left"/>
            </w:pPr>
            <w:r>
              <w:rPr>
                <w:sz w:val="20"/>
                <w:szCs w:val="20"/>
              </w:rPr>
              <w:t xml:space="preserve">Channel Partners</w:t>
            </w:r>
          </w:p>
        </w:tc>
        <w:tc>
          <w:tcPr>
            <w:tcMar>
              <w:top w:type="dxa" w:w="60"/>
              <w:left w:type="dxa" w:w="100"/>
              <w:bottom w:type="dxa" w:w="60"/>
              <w:right w:type="dxa" w:w="100"/>
            </w:tcMar>
          </w:tcPr>
          <w:p>
            <w:pPr>
              <w:jc w:val="left"/>
            </w:pPr>
            <w:r>
              <w:rPr>
                <w:sz w:val="20"/>
                <w:szCs w:val="20"/>
              </w:rPr>
              <w:t xml:space="preserve">data.totals.channel_partners
data.totals.distributors
data.totals.dealers</w:t>
            </w:r>
          </w:p>
        </w:tc>
        <w:tc>
          <w:tcPr>
            <w:tcMar>
              <w:top w:type="dxa" w:w="60"/>
              <w:left w:type="dxa" w:w="100"/>
              <w:bottom w:type="dxa" w:w="60"/>
              <w:right w:type="dxa" w:w="100"/>
            </w:tcMar>
          </w:tcPr>
          <w:p>
            <w:pPr>
              <w:jc w:val="left"/>
            </w:pPr>
            <w:r>
              <w:rPr>
                <w:sz w:val="20"/>
                <w:szCs w:val="20"/>
              </w:rPr>
              <w:t xml:space="preserve">Total = Distributors + Direct Dealers</w:t>
            </w:r>
          </w:p>
        </w:tc>
        <w:tc>
          <w:tcPr>
            <w:tcMar>
              <w:top w:type="dxa" w:w="60"/>
              <w:left w:type="dxa" w:w="100"/>
              <w:bottom w:type="dxa" w:w="60"/>
              <w:right w:type="dxa" w:w="100"/>
            </w:tcMar>
          </w:tcPr>
          <w:p>
            <w:pPr>
              <w:jc w:val="left"/>
            </w:pPr>
            <w:r>
              <w:rPr>
                <w:sz w:val="20"/>
                <w:szCs w:val="20"/>
              </w:rPr>
              <w:t xml:space="preserve">Distributors: Retailer-Distributor Data
Tab: Distributor — rows starting DIST#, col B non-empty
Dealers: STATE HEAD DASHBOARD(2026-27)
Tab: SECONDARY ORDER BOOKING REPORT 2026-27
Col K (Total Dealer 26-27), rows 7+</w:t>
            </w:r>
          </w:p>
        </w:tc>
        <w:tc>
          <w:tcPr>
            <w:tcMar>
              <w:top w:type="dxa" w:w="60"/>
              <w:left w:type="dxa" w:w="100"/>
              <w:bottom w:type="dxa" w:w="60"/>
              <w:right w:type="dxa" w:w="100"/>
            </w:tcMar>
          </w:tcPr>
          <w:p>
            <w:pPr>
              <w:jc w:val="left"/>
            </w:pPr>
            <w:r>
              <w:rPr>
                <w:sz w:val="20"/>
                <w:szCs w:val="20"/>
              </w:rPr>
              <w:t xml:space="preserve">Seed: 604 distributors, 169 dealers = 773 total. Dealer count is per the live State Head Dashboard, not the retailer roster.</w:t>
            </w:r>
          </w:p>
        </w:tc>
      </w:tr>
    </w:tbl>
    <w:p>
      <w:pPr>
        <w:spacing w:after="100"/>
      </w:pPr>
    </w:p>
    <w:p>
      <w:pPr>
        <w:pStyle w:val="Heading2"/>
        <w:spacing w:after="80" w:before="240"/>
      </w:pPr>
      <w:r>
        <w:t xml:space="preserve">2a.  How the FY25-26 card differs from the others</w:t>
      </w:r>
    </w:p>
    <w:p>
      <w:pPr>
        <w:pStyle w:val="ListParagraph"/>
        <w:numPr>
          <w:ilvl w:val="0"/>
          <w:numId w:val="1"/>
        </w:numPr>
        <w:spacing w:after="40" w:before="40"/>
      </w:pPr>
      <w:r>
        <w:rPr>
          <w:b/>
          <w:bCs/>
          <w:sz w:val="22"/>
          <w:szCs w:val="22"/>
        </w:rPr>
        <w:t xml:space="preserve">Source path: </w:t>
      </w:r>
      <w:r>
        <w:rPr>
          <w:sz w:val="22"/>
          <w:szCs w:val="22"/>
        </w:rPr>
        <w:t xml:space="preserve">Cards 1, 3–5 read from the dashboard snapshot (data object served by GET /api/dashboard). The FY25-26 card bypasses the snapshot and calls GET /api/analytics?fy=2025-26 directly at page load.</w:t>
      </w:r>
    </w:p>
    <w:p>
      <w:pPr>
        <w:pStyle w:val="ListParagraph"/>
        <w:numPr>
          <w:ilvl w:val="0"/>
          <w:numId w:val="1"/>
        </w:numPr>
        <w:spacing w:after="40" w:before="40"/>
      </w:pPr>
      <w:r>
        <w:rPr>
          <w:b/>
          <w:bCs/>
          <w:sz w:val="22"/>
          <w:szCs w:val="22"/>
        </w:rPr>
        <w:t xml:space="preserve">Data model: </w:t>
      </w:r>
      <w:r>
        <w:rPr>
          <w:sz w:val="22"/>
          <w:szCs w:val="22"/>
        </w:rPr>
        <w:t xml:space="preserve">The analytics endpoint queries the sale_line PostgreSQL table — the invoice-line register — not a Google Sheets workbook. Figures come from actual GST invoices loaded via xlsx backfill or live Sheets sync.</w:t>
      </w:r>
    </w:p>
    <w:p>
      <w:pPr>
        <w:pStyle w:val="ListParagraph"/>
        <w:numPr>
          <w:ilvl w:val="0"/>
          <w:numId w:val="1"/>
        </w:numPr>
        <w:spacing w:after="40" w:before="40"/>
      </w:pPr>
      <w:r>
        <w:rPr>
          <w:b/>
          <w:bCs/>
          <w:sz w:val="22"/>
          <w:szCs w:val="22"/>
        </w:rPr>
        <w:t xml:space="preserve">Month scope: </w:t>
      </w:r>
      <w:r>
        <w:rPr>
          <w:sz w:val="22"/>
          <w:szCs w:val="22"/>
        </w:rPr>
        <w:t xml:space="preserve">Because FY2025-26 is a closed year, all 12 months are summed. No complete-month guard is applied (that guard applies only to open FYs in the Growth / YoY tabs).</w:t>
      </w:r>
    </w:p>
    <w:p>
      <w:pPr>
        <w:pStyle w:val="ListParagraph"/>
        <w:numPr>
          <w:ilvl w:val="0"/>
          <w:numId w:val="1"/>
        </w:numPr>
        <w:spacing w:after="40" w:before="40"/>
      </w:pPr>
      <w:r>
        <w:rPr>
          <w:b/>
          <w:bCs/>
          <w:sz w:val="22"/>
          <w:szCs w:val="22"/>
        </w:rPr>
        <w:t xml:space="preserve">Availability: </w:t>
      </w:r>
      <w:r>
        <w:rPr>
          <w:sz w:val="22"/>
          <w:szCs w:val="22"/>
        </w:rPr>
        <w:t xml:space="preserve">If the analytics endpoint is slow or unavailable, the card shows '—'. The other cards fall back to the bundled seed snapshot and always render.</w:t>
      </w:r>
    </w:p>
    <w:p>
      <w:pPr>
        <w:spacing w:after="100"/>
      </w:pPr>
    </w:p>
    <w:p>
      <w:pPr>
        <w:pStyle w:val="Heading1"/>
        <w:spacing w:after="120" w:before="360"/>
      </w:pPr>
      <w:r>
        <w:t xml:space="preserve">3.  FY24-25 Product Mix (reference)</w:t>
      </w:r>
    </w:p>
    <w:p>
      <w:pPr>
        <w:spacing w:after="40" w:before="40"/>
      </w:pPr>
      <w:r>
        <w:rPr>
          <w:sz w:val="22"/>
          <w:szCs w:val="22"/>
        </w:rPr>
        <w:t xml:space="preserve">The Product Mix pie chart on the Overview page reads data.fy2425.groups[].annual from the same snapshot. Source: same SALE tab, same PRODUCT_GROUP mapping.</w:t>
      </w:r>
    </w:p>
    <w:p>
      <w:pPr>
        <w:spacing w:after="1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D9E2F3" w:val="clear"/>
            <w:tcMar>
              <w:top w:type="dxa" w:w="60"/>
              <w:left w:type="dxa" w:w="100"/>
              <w:bottom w:type="dxa" w:w="60"/>
              <w:right w:type="dxa" w:w="100"/>
            </w:tcMar>
          </w:tcPr>
          <w:p>
            <w:pPr>
              <w:jc w:val="left"/>
            </w:pPr>
            <w:r>
              <w:rPr>
                <w:b/>
                <w:bCs/>
                <w:sz w:val="20"/>
                <w:szCs w:val="20"/>
              </w:rPr>
              <w:t xml:space="preserve">Product Group</w:t>
            </w:r>
          </w:p>
        </w:tc>
        <w:tc>
          <w:tcPr>
            <w:tcW w:type="pct" w:w="25%"/>
            <w:shd w:fill="D9E2F3" w:val="clear"/>
            <w:tcMar>
              <w:top w:type="dxa" w:w="60"/>
              <w:left w:type="dxa" w:w="100"/>
              <w:bottom w:type="dxa" w:w="60"/>
              <w:right w:type="dxa" w:w="100"/>
            </w:tcMar>
          </w:tcPr>
          <w:p>
            <w:pPr>
              <w:jc w:val="left"/>
            </w:pPr>
            <w:r>
              <w:rPr>
                <w:b/>
                <w:bCs/>
                <w:sz w:val="20"/>
                <w:szCs w:val="20"/>
              </w:rPr>
              <w:t xml:space="preserve">Annual (Cr)</w:t>
            </w:r>
          </w:p>
        </w:tc>
        <w:tc>
          <w:tcPr>
            <w:tcW w:type="pct" w:w="25%"/>
            <w:shd w:fill="D9E2F3" w:val="clear"/>
            <w:tcMar>
              <w:top w:type="dxa" w:w="60"/>
              <w:left w:type="dxa" w:w="100"/>
              <w:bottom w:type="dxa" w:w="60"/>
              <w:right w:type="dxa" w:w="100"/>
            </w:tcMar>
          </w:tcPr>
          <w:p>
            <w:pPr>
              <w:jc w:val="left"/>
            </w:pPr>
            <w:r>
              <w:rPr>
                <w:b/>
                <w:bCs/>
                <w:sz w:val="20"/>
                <w:szCs w:val="20"/>
              </w:rPr>
              <w:t xml:space="preserve">Share</w:t>
            </w:r>
          </w:p>
        </w:tc>
      </w:tr>
      <w:tr>
        <w:tc>
          <w:tcPr>
            <w:tcMar>
              <w:top w:type="dxa" w:w="60"/>
              <w:left w:type="dxa" w:w="100"/>
              <w:bottom w:type="dxa" w:w="60"/>
              <w:right w:type="dxa" w:w="100"/>
            </w:tcMar>
          </w:tcPr>
          <w:p>
            <w:pPr>
              <w:jc w:val="left"/>
            </w:pPr>
            <w:r>
              <w:rPr>
                <w:sz w:val="20"/>
                <w:szCs w:val="20"/>
              </w:rPr>
              <w:t xml:space="preserve">Plumbing (Pipes &amp; Fittings)</w:t>
            </w:r>
          </w:p>
        </w:tc>
        <w:tc>
          <w:tcPr>
            <w:tcMar>
              <w:top w:type="dxa" w:w="60"/>
              <w:left w:type="dxa" w:w="100"/>
              <w:bottom w:type="dxa" w:w="60"/>
              <w:right w:type="dxa" w:w="100"/>
            </w:tcMar>
          </w:tcPr>
          <w:p>
            <w:pPr>
              <w:jc w:val="right"/>
            </w:pPr>
            <w:r>
              <w:rPr>
                <w:sz w:val="20"/>
                <w:szCs w:val="20"/>
              </w:rPr>
              <w:t xml:space="preserve">₹120.38 Cr</w:t>
            </w:r>
          </w:p>
        </w:tc>
        <w:tc>
          <w:tcPr>
            <w:tcMar>
              <w:top w:type="dxa" w:w="60"/>
              <w:left w:type="dxa" w:w="100"/>
              <w:bottom w:type="dxa" w:w="60"/>
              <w:right w:type="dxa" w:w="100"/>
            </w:tcMar>
          </w:tcPr>
          <w:p>
            <w:pPr>
              <w:jc w:val="right"/>
            </w:pPr>
            <w:r>
              <w:rPr>
                <w:sz w:val="20"/>
                <w:szCs w:val="20"/>
              </w:rPr>
              <w:t xml:space="preserve">35.2%</w:t>
            </w:r>
          </w:p>
        </w:tc>
      </w:tr>
      <w:tr>
        <w:tc>
          <w:tcPr>
            <w:shd w:fill="F2F2F2" w:val="clear"/>
            <w:tcMar>
              <w:top w:type="dxa" w:w="60"/>
              <w:left w:type="dxa" w:w="100"/>
              <w:bottom w:type="dxa" w:w="60"/>
              <w:right w:type="dxa" w:w="100"/>
            </w:tcMar>
          </w:tcPr>
          <w:p>
            <w:pPr>
              <w:jc w:val="left"/>
            </w:pPr>
            <w:r>
              <w:rPr>
                <w:sz w:val="20"/>
                <w:szCs w:val="20"/>
              </w:rPr>
              <w:t xml:space="preserve">PTMT / Faucets</w:t>
            </w:r>
          </w:p>
        </w:tc>
        <w:tc>
          <w:tcPr>
            <w:shd w:fill="F2F2F2" w:val="clear"/>
            <w:tcMar>
              <w:top w:type="dxa" w:w="60"/>
              <w:left w:type="dxa" w:w="100"/>
              <w:bottom w:type="dxa" w:w="60"/>
              <w:right w:type="dxa" w:w="100"/>
            </w:tcMar>
          </w:tcPr>
          <w:p>
            <w:pPr>
              <w:jc w:val="right"/>
            </w:pPr>
            <w:r>
              <w:rPr>
                <w:sz w:val="20"/>
                <w:szCs w:val="20"/>
              </w:rPr>
              <w:t xml:space="preserve">₹103.43 Cr</w:t>
            </w:r>
          </w:p>
        </w:tc>
        <w:tc>
          <w:tcPr>
            <w:shd w:fill="F2F2F2" w:val="clear"/>
            <w:tcMar>
              <w:top w:type="dxa" w:w="60"/>
              <w:left w:type="dxa" w:w="100"/>
              <w:bottom w:type="dxa" w:w="60"/>
              <w:right w:type="dxa" w:w="100"/>
            </w:tcMar>
          </w:tcPr>
          <w:p>
            <w:pPr>
              <w:jc w:val="right"/>
            </w:pPr>
            <w:r>
              <w:rPr>
                <w:sz w:val="20"/>
                <w:szCs w:val="20"/>
              </w:rPr>
              <w:t xml:space="preserve">30.3%</w:t>
            </w:r>
          </w:p>
        </w:tc>
      </w:tr>
      <w:tr>
        <w:tc>
          <w:tcPr>
            <w:tcMar>
              <w:top w:type="dxa" w:w="60"/>
              <w:left w:type="dxa" w:w="100"/>
              <w:bottom w:type="dxa" w:w="60"/>
              <w:right w:type="dxa" w:w="100"/>
            </w:tcMar>
          </w:tcPr>
          <w:p>
            <w:pPr>
              <w:jc w:val="left"/>
            </w:pPr>
            <w:r>
              <w:rPr>
                <w:sz w:val="20"/>
                <w:szCs w:val="20"/>
              </w:rPr>
              <w:t xml:space="preserve">CP (Chrome-Plated)</w:t>
            </w:r>
          </w:p>
        </w:tc>
        <w:tc>
          <w:tcPr>
            <w:tcMar>
              <w:top w:type="dxa" w:w="60"/>
              <w:left w:type="dxa" w:w="100"/>
              <w:bottom w:type="dxa" w:w="60"/>
              <w:right w:type="dxa" w:w="100"/>
            </w:tcMar>
          </w:tcPr>
          <w:p>
            <w:pPr>
              <w:jc w:val="right"/>
            </w:pPr>
            <w:r>
              <w:rPr>
                <w:sz w:val="20"/>
                <w:szCs w:val="20"/>
              </w:rPr>
              <w:t xml:space="preserve">₹80.24 Cr</w:t>
            </w:r>
          </w:p>
        </w:tc>
        <w:tc>
          <w:tcPr>
            <w:tcMar>
              <w:top w:type="dxa" w:w="60"/>
              <w:left w:type="dxa" w:w="100"/>
              <w:bottom w:type="dxa" w:w="60"/>
              <w:right w:type="dxa" w:w="100"/>
            </w:tcMar>
          </w:tcPr>
          <w:p>
            <w:pPr>
              <w:jc w:val="right"/>
            </w:pPr>
            <w:r>
              <w:rPr>
                <w:sz w:val="20"/>
                <w:szCs w:val="20"/>
              </w:rPr>
              <w:t xml:space="preserve">23.5%</w:t>
            </w:r>
          </w:p>
        </w:tc>
      </w:tr>
      <w:tr>
        <w:tc>
          <w:tcPr>
            <w:shd w:fill="F2F2F2" w:val="clear"/>
            <w:tcMar>
              <w:top w:type="dxa" w:w="60"/>
              <w:left w:type="dxa" w:w="100"/>
              <w:bottom w:type="dxa" w:w="60"/>
              <w:right w:type="dxa" w:w="100"/>
            </w:tcMar>
          </w:tcPr>
          <w:p>
            <w:pPr>
              <w:jc w:val="left"/>
            </w:pPr>
            <w:r>
              <w:rPr>
                <w:sz w:val="20"/>
                <w:szCs w:val="20"/>
              </w:rPr>
              <w:t xml:space="preserve">Sink</w:t>
            </w:r>
          </w:p>
        </w:tc>
        <w:tc>
          <w:tcPr>
            <w:shd w:fill="F2F2F2" w:val="clear"/>
            <w:tcMar>
              <w:top w:type="dxa" w:w="60"/>
              <w:left w:type="dxa" w:w="100"/>
              <w:bottom w:type="dxa" w:w="60"/>
              <w:right w:type="dxa" w:w="100"/>
            </w:tcMar>
          </w:tcPr>
          <w:p>
            <w:pPr>
              <w:jc w:val="right"/>
            </w:pPr>
            <w:r>
              <w:rPr>
                <w:sz w:val="20"/>
                <w:szCs w:val="20"/>
              </w:rPr>
              <w:t xml:space="preserve">₹14.27 Cr</w:t>
            </w:r>
          </w:p>
        </w:tc>
        <w:tc>
          <w:tcPr>
            <w:shd w:fill="F2F2F2" w:val="clear"/>
            <w:tcMar>
              <w:top w:type="dxa" w:w="60"/>
              <w:left w:type="dxa" w:w="100"/>
              <w:bottom w:type="dxa" w:w="60"/>
              <w:right w:type="dxa" w:w="100"/>
            </w:tcMar>
          </w:tcPr>
          <w:p>
            <w:pPr>
              <w:jc w:val="right"/>
            </w:pPr>
            <w:r>
              <w:rPr>
                <w:sz w:val="20"/>
                <w:szCs w:val="20"/>
              </w:rPr>
              <w:t xml:space="preserve">4.2%</w:t>
            </w:r>
          </w:p>
        </w:tc>
      </w:tr>
      <w:tr>
        <w:tc>
          <w:tcPr>
            <w:tcMar>
              <w:top w:type="dxa" w:w="60"/>
              <w:left w:type="dxa" w:w="100"/>
              <w:bottom w:type="dxa" w:w="60"/>
              <w:right w:type="dxa" w:w="100"/>
            </w:tcMar>
          </w:tcPr>
          <w:p>
            <w:pPr>
              <w:jc w:val="left"/>
            </w:pPr>
            <w:r>
              <w:rPr>
                <w:sz w:val="20"/>
                <w:szCs w:val="20"/>
              </w:rPr>
              <w:t xml:space="preserve">Sanitaryware</w:t>
            </w:r>
          </w:p>
        </w:tc>
        <w:tc>
          <w:tcPr>
            <w:tcMar>
              <w:top w:type="dxa" w:w="60"/>
              <w:left w:type="dxa" w:w="100"/>
              <w:bottom w:type="dxa" w:w="60"/>
              <w:right w:type="dxa" w:w="100"/>
            </w:tcMar>
          </w:tcPr>
          <w:p>
            <w:pPr>
              <w:jc w:val="right"/>
            </w:pPr>
            <w:r>
              <w:rPr>
                <w:sz w:val="20"/>
                <w:szCs w:val="20"/>
              </w:rPr>
              <w:t xml:space="preserve">₹11.95 Cr</w:t>
            </w:r>
          </w:p>
        </w:tc>
        <w:tc>
          <w:tcPr>
            <w:tcMar>
              <w:top w:type="dxa" w:w="60"/>
              <w:left w:type="dxa" w:w="100"/>
              <w:bottom w:type="dxa" w:w="60"/>
              <w:right w:type="dxa" w:w="100"/>
            </w:tcMar>
          </w:tcPr>
          <w:p>
            <w:pPr>
              <w:jc w:val="right"/>
            </w:pPr>
            <w:r>
              <w:rPr>
                <w:sz w:val="20"/>
                <w:szCs w:val="20"/>
              </w:rPr>
              <w:t xml:space="preserve">3.5%</w:t>
            </w:r>
          </w:p>
        </w:tc>
      </w:tr>
      <w:tr>
        <w:tc>
          <w:tcPr>
            <w:shd w:fill="F2F2F2" w:val="clear"/>
            <w:tcMar>
              <w:top w:type="dxa" w:w="60"/>
              <w:left w:type="dxa" w:w="100"/>
              <w:bottom w:type="dxa" w:w="60"/>
              <w:right w:type="dxa" w:w="100"/>
            </w:tcMar>
          </w:tcPr>
          <w:p>
            <w:pPr>
              <w:jc w:val="left"/>
            </w:pPr>
            <w:r>
              <w:rPr>
                <w:sz w:val="20"/>
                <w:szCs w:val="20"/>
              </w:rPr>
              <w:t xml:space="preserve">Connection / Waste</w:t>
            </w:r>
          </w:p>
        </w:tc>
        <w:tc>
          <w:tcPr>
            <w:shd w:fill="F2F2F2" w:val="clear"/>
            <w:tcMar>
              <w:top w:type="dxa" w:w="60"/>
              <w:left w:type="dxa" w:w="100"/>
              <w:bottom w:type="dxa" w:w="60"/>
              <w:right w:type="dxa" w:w="100"/>
            </w:tcMar>
          </w:tcPr>
          <w:p>
            <w:pPr>
              <w:jc w:val="right"/>
            </w:pPr>
            <w:r>
              <w:rPr>
                <w:sz w:val="20"/>
                <w:szCs w:val="20"/>
              </w:rPr>
              <w:t xml:space="preserve">₹10.12 Cr</w:t>
            </w:r>
          </w:p>
        </w:tc>
        <w:tc>
          <w:tcPr>
            <w:shd w:fill="F2F2F2" w:val="clear"/>
            <w:tcMar>
              <w:top w:type="dxa" w:w="60"/>
              <w:left w:type="dxa" w:w="100"/>
              <w:bottom w:type="dxa" w:w="60"/>
              <w:right w:type="dxa" w:w="100"/>
            </w:tcMar>
          </w:tcPr>
          <w:p>
            <w:pPr>
              <w:jc w:val="right"/>
            </w:pPr>
            <w:r>
              <w:rPr>
                <w:sz w:val="20"/>
                <w:szCs w:val="20"/>
              </w:rPr>
              <w:t xml:space="preserve">3.0%</w:t>
            </w:r>
          </w:p>
        </w:tc>
      </w:tr>
      <w:tr>
        <w:tc>
          <w:tcPr>
            <w:tcMar>
              <w:top w:type="dxa" w:w="60"/>
              <w:left w:type="dxa" w:w="100"/>
              <w:bottom w:type="dxa" w:w="60"/>
              <w:right w:type="dxa" w:w="100"/>
            </w:tcMar>
          </w:tcPr>
          <w:p>
            <w:pPr>
              <w:jc w:val="left"/>
            </w:pPr>
            <w:r>
              <w:rPr>
                <w:sz w:val="20"/>
                <w:szCs w:val="20"/>
              </w:rPr>
              <w:t xml:space="preserve">Hardware</w:t>
            </w:r>
          </w:p>
        </w:tc>
        <w:tc>
          <w:tcPr>
            <w:tcMar>
              <w:top w:type="dxa" w:w="60"/>
              <w:left w:type="dxa" w:w="100"/>
              <w:bottom w:type="dxa" w:w="60"/>
              <w:right w:type="dxa" w:w="100"/>
            </w:tcMar>
          </w:tcPr>
          <w:p>
            <w:pPr>
              <w:jc w:val="right"/>
            </w:pPr>
            <w:r>
              <w:rPr>
                <w:sz w:val="20"/>
                <w:szCs w:val="20"/>
              </w:rPr>
              <w:t xml:space="preserve">₹1.34 Cr</w:t>
            </w:r>
          </w:p>
        </w:tc>
        <w:tc>
          <w:tcPr>
            <w:tcMar>
              <w:top w:type="dxa" w:w="60"/>
              <w:left w:type="dxa" w:w="100"/>
              <w:bottom w:type="dxa" w:w="60"/>
              <w:right w:type="dxa" w:w="100"/>
            </w:tcMar>
          </w:tcPr>
          <w:p>
            <w:pPr>
              <w:jc w:val="right"/>
            </w:pPr>
            <w:r>
              <w:rPr>
                <w:sz w:val="20"/>
                <w:szCs w:val="20"/>
              </w:rPr>
              <w:t xml:space="preserve">0.4%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 w:type="paragraph" w:styleId="Heading1">
    <w:name w:val="Heading 1"/>
    <w:basedOn w:val="Normal"/>
    <w:pPr>
      <w:spacing w:after="160" w:before="400"/>
    </w:pPr>
    <w:rPr>
      <w:b/>
      <w:bCs/>
      <w:color w:val="1F4E79"/>
      <w:sz w:val="32"/>
      <w:szCs w:val="32"/>
    </w:rPr>
  </w:style>
  <w:style w:type="paragraph" w:styleId="Heading2">
    <w:name w:val="Heading 2"/>
    <w:basedOn w:val="Normal"/>
    <w:pPr>
      <w:spacing w:after="100" w:before="280"/>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2026-07-24T09:01:31.873Z</dcterms:created>
  <dcterms:modified xsi:type="dcterms:W3CDTF">2026-07-24T09:01:31.875Z</dcterms:modified>
</cp:coreProperties>
</file>

<file path=docProps/custom.xml><?xml version="1.0" encoding="utf-8"?>
<Properties xmlns="http://schemas.openxmlformats.org/officeDocument/2006/custom-properties" xmlns:vt="http://schemas.openxmlformats.org/officeDocument/2006/docPropsVTypes"/>
</file>