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Publish Migration Failure Analysis</w:t>
      </w:r>
    </w:p>
    <w:p>
      <w:pPr>
        <w:jc w:val="center"/>
      </w:pPr>
      <w:r>
        <w:rPr>
          <w:b/>
          <w:color w:val="2F5597"/>
          <w:sz w:val="28"/>
        </w:rPr>
        <w:t>Canonical Category Registry — NULL-Safe Uniqueness</w:t>
      </w:r>
    </w:p>
    <w:p>
      <w:pPr>
        <w:jc w:val="center"/>
      </w:pPr>
      <w:r>
        <w:rPr>
          <w:i/>
        </w:rPr>
        <w:t>Read-only diagnosis and corrective-path recommendation</w:t>
      </w:r>
    </w:p>
    <w:p>
      <w:pPr>
        <w:pStyle w:val="Heading1"/>
      </w:pPr>
      <w:r>
        <w:t>Executive conclusion</w:t>
      </w:r>
    </w:p>
    <w:p>
      <w:r>
        <w:t xml:space="preserve">The failed Publish validation did not modify production. The unique-index syntax is valid. Validation failed because the disposable production fork contains </w:t>
      </w:r>
      <w:r>
        <w:rPr>
          <w:b/>
        </w:rPr>
        <w:t>35 exact duplicate open assignments</w:t>
      </w:r>
      <w:r>
        <w:t>, while development contains none. Publish attempts to create the final unique index before application-managed migration code can delete those rows.</w:t>
      </w:r>
    </w:p>
    <w:p>
      <w:r>
        <w:rPr>
          <w:b/>
        </w:rPr>
        <w:t xml:space="preserve">Key limitation: </w:t>
      </w:r>
      <w:r>
        <w:t>a single Publish cannot both run application-level cleanup DML first and then validate the final unique index. Publish validates its generated schema diff before the new deployment starts.</w:t>
      </w:r>
    </w:p>
    <w:p>
      <w:pPr>
        <w:pStyle w:val="Heading1"/>
      </w:pPr>
      <w:r>
        <w:t>A. What Publish flattened</w:t>
      </w:r>
    </w:p>
    <w:p>
      <w:r>
        <w:t>The original object was a PostgreSQL table constraint—not a partial index and not an expression index:</w:t>
      </w:r>
    </w:p>
    <w:p>
      <w:pPr>
        <w:ind w:left="360" w:right="216"/>
      </w:pPr>
      <w:r>
        <w:rPr>
          <w:rFonts w:ascii="Consolas" w:hAnsi="Consolas"/>
          <w:sz w:val="16"/>
        </w:rPr>
        <w:t>CONSTRAINT canonical_item_category_registry_assignment_uq</w:t>
        <w:br/>
      </w:r>
      <w:r>
        <w:rPr>
          <w:rFonts w:ascii="Consolas" w:hAnsi="Consolas"/>
          <w:sz w:val="16"/>
        </w:rPr>
        <w:t>UNIQUE NULLS NOT DISTINCT (</w:t>
        <w:br/>
      </w:r>
      <w:r>
        <w:rPr>
          <w:rFonts w:ascii="Consolas" w:hAnsi="Consolas"/>
          <w:sz w:val="16"/>
        </w:rPr>
        <w:t xml:space="preserve">  item_code,</w:t>
        <w:br/>
      </w:r>
      <w:r>
        <w:rPr>
          <w:rFonts w:ascii="Consolas" w:hAnsi="Consolas"/>
          <w:sz w:val="16"/>
        </w:rPr>
        <w:t xml:space="preserve">  canonical_category,</w:t>
        <w:br/>
      </w:r>
      <w:r>
        <w:rPr>
          <w:rFonts w:ascii="Consolas" w:hAnsi="Consolas"/>
          <w:sz w:val="16"/>
        </w:rPr>
        <w:t xml:space="preserve">  effective_from</w:t>
        <w:br/>
      </w:r>
      <w:r>
        <w:rPr>
          <w:rFonts w:ascii="Consolas" w:hAnsi="Consolas"/>
          <w:sz w:val="16"/>
        </w:rPr>
        <w:t>)</w:t>
        <w:br/>
      </w:r>
    </w:p>
    <w:p>
      <w:r>
        <w:t>Development retained NULLS NOT DISTINCT, but Publish recreated production as ordinary UNIQUE and lost the NULL-aware flag. Ordinary uniqueness treats NULL values as distinct, permitting duplicate rows where effective_from is NULL.</w:t>
      </w:r>
    </w:p>
    <w:p>
      <w:pPr>
        <w:pStyle w:val="Heading1"/>
      </w:pPr>
      <w:r>
        <w:t>B. Replacement expected to survive Publish</w:t>
      </w:r>
    </w:p>
    <w:p>
      <w:r>
        <w:t>The preferred representation is two partial unique indexes: one for open-ended assignments and one for dated assignments. This is equivalent because item_code and canonical_category are NOT NULL, while effective_from is the only nullable key component.</w:t>
      </w:r>
    </w:p>
    <w:p>
      <w:pPr>
        <w:ind w:left="360" w:right="216"/>
      </w:pPr>
      <w:r>
        <w:rPr>
          <w:rFonts w:ascii="Consolas" w:hAnsi="Consolas"/>
          <w:sz w:val="16"/>
        </w:rPr>
        <w:t>CREATE UNIQUE INDEX canonical_item_category_registry_open_assignment_uq</w:t>
        <w:br/>
      </w:r>
      <w:r>
        <w:rPr>
          <w:rFonts w:ascii="Consolas" w:hAnsi="Consolas"/>
          <w:sz w:val="16"/>
        </w:rPr>
        <w:t>ON canonical_item_category_registry (item_code, canonical_category)</w:t>
        <w:br/>
      </w:r>
      <w:r>
        <w:rPr>
          <w:rFonts w:ascii="Consolas" w:hAnsi="Consolas"/>
          <w:sz w:val="16"/>
        </w:rPr>
        <w:t>WHERE effective_from IS NULL;</w:t>
        <w:br/>
      </w:r>
      <w:r>
        <w:rPr>
          <w:rFonts w:ascii="Consolas" w:hAnsi="Consolas"/>
          <w:sz w:val="16"/>
        </w:rPr>
        <w:br/>
      </w:r>
      <w:r>
        <w:rPr>
          <w:rFonts w:ascii="Consolas" w:hAnsi="Consolas"/>
          <w:sz w:val="16"/>
        </w:rPr>
        <w:t>CREATE UNIQUE INDEX canonical_item_category_registry_dated_assignment_uq</w:t>
        <w:br/>
      </w:r>
      <w:r>
        <w:rPr>
          <w:rFonts w:ascii="Consolas" w:hAnsi="Consolas"/>
          <w:sz w:val="16"/>
        </w:rPr>
        <w:t>ON canonical_item_category_registry (</w:t>
        <w:br/>
      </w:r>
      <w:r>
        <w:rPr>
          <w:rFonts w:ascii="Consolas" w:hAnsi="Consolas"/>
          <w:sz w:val="16"/>
        </w:rPr>
        <w:t xml:space="preserve">  item_code,</w:t>
        <w:br/>
      </w:r>
      <w:r>
        <w:rPr>
          <w:rFonts w:ascii="Consolas" w:hAnsi="Consolas"/>
          <w:sz w:val="16"/>
        </w:rPr>
        <w:t xml:space="preserve">  canonical_category,</w:t>
        <w:br/>
      </w:r>
      <w:r>
        <w:rPr>
          <w:rFonts w:ascii="Consolas" w:hAnsi="Consolas"/>
          <w:sz w:val="16"/>
        </w:rPr>
        <w:t xml:space="preserve">  effective_from</w:t>
        <w:br/>
      </w:r>
      <w:r>
        <w:rPr>
          <w:rFonts w:ascii="Consolas" w:hAnsi="Consolas"/>
          <w:sz w:val="16"/>
        </w:rPr>
        <w:t>)</w:t>
        <w:br/>
      </w:r>
      <w:r>
        <w:rPr>
          <w:rFonts w:ascii="Consolas" w:hAnsi="Consolas"/>
          <w:sz w:val="16"/>
        </w:rPr>
        <w:t>WHERE effective_from IS NOT NULL;</w:t>
        <w:br/>
      </w:r>
    </w:p>
    <w:p>
      <w:r>
        <w:t>All 11 existing partial indexes inspected retained their exact predicates in production. The project contains no expression or exclusion index with which to establish comparable Publish behavior, so a COALESCE expression index has less evidence behind it.</w:t>
      </w:r>
    </w:p>
    <w:p>
      <w:pPr>
        <w:pStyle w:val="Heading1"/>
      </w:pPr>
      <w:r>
        <w:t>C. Full Publish-sensitive catalog audit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pPr>
              <w:spacing w:after="0"/>
            </w:pPr>
            <w:r>
              <w:rPr>
                <w:b/>
                <w:sz w:val="16"/>
              </w:rPr>
              <w:t>Construct class</w:t>
            </w:r>
          </w:p>
        </w:tc>
        <w:tc>
          <w:tcPr>
            <w:tcW w:type="dxa" w:w="3408"/>
            <w:shd w:fill="D9EAF7"/>
          </w:tcPr>
          <w:p>
            <w:pPr>
              <w:spacing w:after="0"/>
            </w:pPr>
            <w:r>
              <w:rPr>
                <w:b/>
                <w:sz w:val="16"/>
              </w:rPr>
              <w:t>Found</w:t>
            </w:r>
          </w:p>
        </w:tc>
        <w:tc>
          <w:tcPr>
            <w:tcW w:type="dxa" w:w="3408"/>
            <w:shd w:fill="D9EAF7"/>
          </w:tcPr>
          <w:p>
            <w:pPr>
              <w:spacing w:after="0"/>
            </w:pPr>
            <w:r>
              <w:rPr>
                <w:b/>
                <w:sz w:val="16"/>
              </w:rPr>
              <w:t>Production result</w:t>
            </w:r>
          </w:p>
        </w:tc>
      </w:tr>
      <w:tr>
        <w:tc>
          <w:tcPr>
            <w:tcW w:type="dxa" w:w="3408"/>
            <w:vAlign w:val="center"/>
          </w:tcPr>
          <w:p>
            <w:pPr>
              <w:spacing w:after="0"/>
            </w:pPr>
            <w:r>
              <w:rPr>
                <w:sz w:val="16"/>
              </w:rPr>
              <w:t>Partial indexes</w:t>
            </w:r>
          </w:p>
        </w:tc>
        <w:tc>
          <w:tcPr>
            <w:tcW w:type="dxa" w:w="3408"/>
            <w:vAlign w:val="center"/>
          </w:tcPr>
          <w:p>
            <w:pPr>
              <w:spacing w:after="0"/>
            </w:pPr>
            <w:r>
              <w:rPr>
                <w:sz w:val="16"/>
              </w:rPr>
              <w:t>6</w:t>
            </w:r>
          </w:p>
        </w:tc>
        <w:tc>
          <w:tcPr>
            <w:tcW w:type="dxa" w:w="3408"/>
            <w:vAlign w:val="center"/>
          </w:tcPr>
          <w:p>
            <w:pPr>
              <w:spacing w:after="0"/>
            </w:pPr>
            <w:r>
              <w:rPr>
                <w:sz w:val="16"/>
              </w:rPr>
              <w:t>Exact match</w:t>
            </w:r>
          </w:p>
        </w:tc>
      </w:tr>
      <w:tr>
        <w:tc>
          <w:tcPr>
            <w:tcW w:type="dxa" w:w="3408"/>
            <w:vAlign w:val="center"/>
          </w:tcPr>
          <w:p>
            <w:pPr>
              <w:spacing w:after="0"/>
            </w:pPr>
            <w:r>
              <w:rPr>
                <w:sz w:val="16"/>
              </w:rPr>
              <w:t>Partial unique indexes</w:t>
            </w:r>
          </w:p>
        </w:tc>
        <w:tc>
          <w:tcPr>
            <w:tcW w:type="dxa" w:w="3408"/>
            <w:vAlign w:val="center"/>
          </w:tcPr>
          <w:p>
            <w:pPr>
              <w:spacing w:after="0"/>
            </w:pPr>
            <w:r>
              <w:rPr>
                <w:sz w:val="16"/>
              </w:rPr>
              <w:t>5</w:t>
            </w:r>
          </w:p>
        </w:tc>
        <w:tc>
          <w:tcPr>
            <w:tcW w:type="dxa" w:w="3408"/>
            <w:vAlign w:val="center"/>
          </w:tcPr>
          <w:p>
            <w:pPr>
              <w:spacing w:after="0"/>
            </w:pPr>
            <w:r>
              <w:rPr>
                <w:sz w:val="16"/>
              </w:rPr>
              <w:t>Exact match</w:t>
            </w:r>
          </w:p>
        </w:tc>
      </w:tr>
      <w:tr>
        <w:tc>
          <w:tcPr>
            <w:tcW w:type="dxa" w:w="3408"/>
            <w:vAlign w:val="center"/>
          </w:tcPr>
          <w:p>
            <w:pPr>
              <w:spacing w:after="0"/>
            </w:pPr>
            <w:r>
              <w:rPr>
                <w:sz w:val="16"/>
              </w:rPr>
              <w:t>Expression indexes</w:t>
            </w:r>
          </w:p>
        </w:tc>
        <w:tc>
          <w:tcPr>
            <w:tcW w:type="dxa" w:w="3408"/>
            <w:vAlign w:val="center"/>
          </w:tcPr>
          <w:p>
            <w:pPr>
              <w:spacing w:after="0"/>
            </w:pPr>
            <w:r>
              <w:rPr>
                <w:sz w:val="16"/>
              </w:rPr>
              <w:t>0</w:t>
            </w:r>
          </w:p>
        </w:tc>
        <w:tc>
          <w:tcPr>
            <w:tcW w:type="dxa" w:w="3408"/>
            <w:vAlign w:val="center"/>
          </w:tcPr>
          <w:p>
            <w:pPr>
              <w:spacing w:after="0"/>
            </w:pPr>
            <w:r>
              <w:rPr>
                <w:sz w:val="16"/>
              </w:rPr>
              <w:t>Nothing to compare</w:t>
            </w:r>
          </w:p>
        </w:tc>
      </w:tr>
      <w:tr>
        <w:tc>
          <w:tcPr>
            <w:tcW w:type="dxa" w:w="3408"/>
            <w:vAlign w:val="center"/>
          </w:tcPr>
          <w:p>
            <w:pPr>
              <w:spacing w:after="0"/>
            </w:pPr>
            <w:r>
              <w:rPr>
                <w:sz w:val="16"/>
              </w:rPr>
              <w:t>Exclusion constraints</w:t>
            </w:r>
          </w:p>
        </w:tc>
        <w:tc>
          <w:tcPr>
            <w:tcW w:type="dxa" w:w="3408"/>
            <w:vAlign w:val="center"/>
          </w:tcPr>
          <w:p>
            <w:pPr>
              <w:spacing w:after="0"/>
            </w:pPr>
            <w:r>
              <w:rPr>
                <w:sz w:val="16"/>
              </w:rPr>
              <w:t>0</w:t>
            </w:r>
          </w:p>
        </w:tc>
        <w:tc>
          <w:tcPr>
            <w:tcW w:type="dxa" w:w="3408"/>
            <w:vAlign w:val="center"/>
          </w:tcPr>
          <w:p>
            <w:pPr>
              <w:spacing w:after="0"/>
            </w:pPr>
            <w:r>
              <w:rPr>
                <w:sz w:val="16"/>
              </w:rPr>
              <w:t>Nothing to compare</w:t>
            </w:r>
          </w:p>
        </w:tc>
      </w:tr>
      <w:tr>
        <w:tc>
          <w:tcPr>
            <w:tcW w:type="dxa" w:w="3408"/>
            <w:vAlign w:val="center"/>
          </w:tcPr>
          <w:p>
            <w:pPr>
              <w:spacing w:after="0"/>
            </w:pPr>
            <w:r>
              <w:rPr>
                <w:sz w:val="16"/>
              </w:rPr>
              <w:t>UNIQUE NULLS NOT DISTINCT</w:t>
            </w:r>
          </w:p>
        </w:tc>
        <w:tc>
          <w:tcPr>
            <w:tcW w:type="dxa" w:w="3408"/>
            <w:vAlign w:val="center"/>
          </w:tcPr>
          <w:p>
            <w:pPr>
              <w:spacing w:after="0"/>
            </w:pPr>
            <w:r>
              <w:rPr>
                <w:sz w:val="16"/>
              </w:rPr>
              <w:t>1</w:t>
            </w:r>
          </w:p>
        </w:tc>
        <w:tc>
          <w:tcPr>
            <w:tcW w:type="dxa" w:w="3408"/>
            <w:vAlign w:val="center"/>
          </w:tcPr>
          <w:p>
            <w:pPr>
              <w:spacing w:after="0"/>
            </w:pPr>
            <w:r>
              <w:rPr>
                <w:sz w:val="16"/>
              </w:rPr>
              <w:t>Weakened to ordinary UNIQUE</w:t>
            </w:r>
          </w:p>
        </w:tc>
      </w:tr>
      <w:tr>
        <w:tc>
          <w:tcPr>
            <w:tcW w:type="dxa" w:w="3408"/>
            <w:vAlign w:val="center"/>
          </w:tcPr>
          <w:p>
            <w:pPr>
              <w:spacing w:after="0"/>
            </w:pPr>
            <w:r>
              <w:rPr>
                <w:sz w:val="16"/>
              </w:rPr>
              <w:t>Other filtered constraints</w:t>
            </w:r>
          </w:p>
        </w:tc>
        <w:tc>
          <w:tcPr>
            <w:tcW w:type="dxa" w:w="3408"/>
            <w:vAlign w:val="center"/>
          </w:tcPr>
          <w:p>
            <w:pPr>
              <w:spacing w:after="0"/>
            </w:pPr>
            <w:r>
              <w:rPr>
                <w:sz w:val="16"/>
              </w:rPr>
              <w:t>0</w:t>
            </w:r>
          </w:p>
        </w:tc>
        <w:tc>
          <w:tcPr>
            <w:tcW w:type="dxa" w:w="3408"/>
            <w:vAlign w:val="center"/>
          </w:tcPr>
          <w:p>
            <w:pPr>
              <w:spacing w:after="0"/>
            </w:pPr>
            <w:r>
              <w:rPr>
                <w:sz w:val="16"/>
              </w:rPr>
              <w:t>Nothing to compare</w:t>
            </w:r>
          </w:p>
        </w:tc>
      </w:tr>
    </w:tbl>
    <w:p>
      <w:r>
        <w:t>Conclusion: Publish does not appear to flatten partial-index predicates generally. The observed semantic-loss class is narrower: the NULLS NOT DISTINCT flag was not preserved. The earlier ledger incident was a separate class in which Publish removed a production-only relation absent from the reconciled development schema.</w:t>
      </w:r>
    </w:p>
    <w:p>
      <w:pPr>
        <w:pStyle w:val="Heading1"/>
      </w:pPr>
      <w:r>
        <w:t>The 35 duplicate rows identified for removal</w:t>
      </w:r>
    </w:p>
    <w:p>
      <w:r>
        <w:t>For every pair, the lower ID is the deterministic keeper and the higher ID is the duplicate. Read-only verification found zero provenance rows referencing the duplicate IDs.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pPr>
              <w:spacing w:after="0"/>
            </w:pPr>
            <w:r>
              <w:rPr>
                <w:b/>
                <w:sz w:val="16"/>
              </w:rPr>
              <w:t>Item code</w:t>
            </w:r>
          </w:p>
        </w:tc>
        <w:tc>
          <w:tcPr>
            <w:tcW w:type="dxa" w:w="2556"/>
            <w:shd w:fill="D9EAF7"/>
          </w:tcPr>
          <w:p>
            <w:pPr>
              <w:spacing w:after="0"/>
            </w:pPr>
            <w:r>
              <w:rPr>
                <w:b/>
                <w:sz w:val="16"/>
              </w:rPr>
              <w:t>Canonical category</w:t>
            </w:r>
          </w:p>
        </w:tc>
        <w:tc>
          <w:tcPr>
            <w:tcW w:type="dxa" w:w="2556"/>
            <w:shd w:fill="D9EAF7"/>
          </w:tcPr>
          <w:p>
            <w:pPr>
              <w:spacing w:after="0"/>
            </w:pPr>
            <w:r>
              <w:rPr>
                <w:b/>
                <w:sz w:val="16"/>
              </w:rPr>
              <w:t>Keep ID</w:t>
            </w:r>
          </w:p>
        </w:tc>
        <w:tc>
          <w:tcPr>
            <w:tcW w:type="dxa" w:w="2556"/>
            <w:shd w:fill="D9EAF7"/>
          </w:tcPr>
          <w:p>
            <w:pPr>
              <w:spacing w:after="0"/>
            </w:pPr>
            <w:r>
              <w:rPr>
                <w:b/>
                <w:sz w:val="16"/>
              </w:rPr>
              <w:t>Delete ID</w:t>
            </w:r>
          </w:p>
        </w:tc>
      </w:tr>
      <w:tr>
        <w:tc>
          <w:tcPr>
            <w:tcW w:type="dxa" w:w="2556"/>
            <w:vAlign w:val="center"/>
          </w:tcPr>
          <w:p>
            <w:pPr>
              <w:spacing w:after="0"/>
            </w:pPr>
            <w:r>
              <w:rPr>
                <w:sz w:val="16"/>
              </w:rPr>
              <w:t>4043</w:t>
            </w:r>
          </w:p>
        </w:tc>
        <w:tc>
          <w:tcPr>
            <w:tcW w:type="dxa" w:w="2556"/>
            <w:vAlign w:val="center"/>
          </w:tcPr>
          <w:p>
            <w:pPr>
              <w:spacing w:after="0"/>
            </w:pPr>
            <w:r>
              <w:rPr>
                <w:sz w:val="16"/>
              </w:rPr>
              <w:t>Sanitaryware</w:t>
            </w:r>
          </w:p>
        </w:tc>
        <w:tc>
          <w:tcPr>
            <w:tcW w:type="dxa" w:w="2556"/>
            <w:vAlign w:val="center"/>
          </w:tcPr>
          <w:p>
            <w:pPr>
              <w:spacing w:after="0"/>
            </w:pPr>
            <w:r>
              <w:rPr>
                <w:sz w:val="16"/>
              </w:rPr>
              <w:t>8682</w:t>
            </w:r>
          </w:p>
        </w:tc>
        <w:tc>
          <w:tcPr>
            <w:tcW w:type="dxa" w:w="2556"/>
            <w:vAlign w:val="center"/>
          </w:tcPr>
          <w:p>
            <w:pPr>
              <w:spacing w:after="0"/>
            </w:pPr>
            <w:r>
              <w:rPr>
                <w:sz w:val="16"/>
              </w:rPr>
              <w:t>17291</w:t>
            </w:r>
          </w:p>
        </w:tc>
      </w:tr>
      <w:tr>
        <w:tc>
          <w:tcPr>
            <w:tcW w:type="dxa" w:w="2556"/>
            <w:vAlign w:val="center"/>
          </w:tcPr>
          <w:p>
            <w:pPr>
              <w:spacing w:after="0"/>
            </w:pPr>
            <w:r>
              <w:rPr>
                <w:sz w:val="16"/>
              </w:rPr>
              <w:t>4044</w:t>
            </w:r>
          </w:p>
        </w:tc>
        <w:tc>
          <w:tcPr>
            <w:tcW w:type="dxa" w:w="2556"/>
            <w:vAlign w:val="center"/>
          </w:tcPr>
          <w:p>
            <w:pPr>
              <w:spacing w:after="0"/>
            </w:pPr>
            <w:r>
              <w:rPr>
                <w:sz w:val="16"/>
              </w:rPr>
              <w:t>Sanitaryware</w:t>
            </w:r>
          </w:p>
        </w:tc>
        <w:tc>
          <w:tcPr>
            <w:tcW w:type="dxa" w:w="2556"/>
            <w:vAlign w:val="center"/>
          </w:tcPr>
          <w:p>
            <w:pPr>
              <w:spacing w:after="0"/>
            </w:pPr>
            <w:r>
              <w:rPr>
                <w:sz w:val="16"/>
              </w:rPr>
              <w:t>8683</w:t>
            </w:r>
          </w:p>
        </w:tc>
        <w:tc>
          <w:tcPr>
            <w:tcW w:type="dxa" w:w="2556"/>
            <w:vAlign w:val="center"/>
          </w:tcPr>
          <w:p>
            <w:pPr>
              <w:spacing w:after="0"/>
            </w:pPr>
            <w:r>
              <w:rPr>
                <w:sz w:val="16"/>
              </w:rPr>
              <w:t>17293</w:t>
            </w:r>
          </w:p>
        </w:tc>
      </w:tr>
      <w:tr>
        <w:tc>
          <w:tcPr>
            <w:tcW w:type="dxa" w:w="2556"/>
            <w:vAlign w:val="center"/>
          </w:tcPr>
          <w:p>
            <w:pPr>
              <w:spacing w:after="0"/>
            </w:pPr>
            <w:r>
              <w:rPr>
                <w:sz w:val="16"/>
              </w:rPr>
              <w:t>4045</w:t>
            </w:r>
          </w:p>
        </w:tc>
        <w:tc>
          <w:tcPr>
            <w:tcW w:type="dxa" w:w="2556"/>
            <w:vAlign w:val="center"/>
          </w:tcPr>
          <w:p>
            <w:pPr>
              <w:spacing w:after="0"/>
            </w:pPr>
            <w:r>
              <w:rPr>
                <w:sz w:val="16"/>
              </w:rPr>
              <w:t>Sanitaryware</w:t>
            </w:r>
          </w:p>
        </w:tc>
        <w:tc>
          <w:tcPr>
            <w:tcW w:type="dxa" w:w="2556"/>
            <w:vAlign w:val="center"/>
          </w:tcPr>
          <w:p>
            <w:pPr>
              <w:spacing w:after="0"/>
            </w:pPr>
            <w:r>
              <w:rPr>
                <w:sz w:val="16"/>
              </w:rPr>
              <w:t>8684</w:t>
            </w:r>
          </w:p>
        </w:tc>
        <w:tc>
          <w:tcPr>
            <w:tcW w:type="dxa" w:w="2556"/>
            <w:vAlign w:val="center"/>
          </w:tcPr>
          <w:p>
            <w:pPr>
              <w:spacing w:after="0"/>
            </w:pPr>
            <w:r>
              <w:rPr>
                <w:sz w:val="16"/>
              </w:rPr>
              <w:t>17295</w:t>
            </w:r>
          </w:p>
        </w:tc>
      </w:tr>
      <w:tr>
        <w:tc>
          <w:tcPr>
            <w:tcW w:type="dxa" w:w="2556"/>
            <w:vAlign w:val="center"/>
          </w:tcPr>
          <w:p>
            <w:pPr>
              <w:spacing w:after="0"/>
            </w:pPr>
            <w:r>
              <w:rPr>
                <w:sz w:val="16"/>
              </w:rPr>
              <w:t>511</w:t>
            </w:r>
          </w:p>
        </w:tc>
        <w:tc>
          <w:tcPr>
            <w:tcW w:type="dxa" w:w="2556"/>
            <w:vAlign w:val="center"/>
          </w:tcPr>
          <w:p>
            <w:pPr>
              <w:spacing w:after="0"/>
            </w:pPr>
            <w:r>
              <w:rPr>
                <w:sz w:val="16"/>
              </w:rPr>
              <w:t>PTMT / Faucets</w:t>
            </w:r>
          </w:p>
        </w:tc>
        <w:tc>
          <w:tcPr>
            <w:tcW w:type="dxa" w:w="2556"/>
            <w:vAlign w:val="center"/>
          </w:tcPr>
          <w:p>
            <w:pPr>
              <w:spacing w:after="0"/>
            </w:pPr>
            <w:r>
              <w:rPr>
                <w:sz w:val="16"/>
              </w:rPr>
              <w:t>8893</w:t>
            </w:r>
          </w:p>
        </w:tc>
        <w:tc>
          <w:tcPr>
            <w:tcW w:type="dxa" w:w="2556"/>
            <w:vAlign w:val="center"/>
          </w:tcPr>
          <w:p>
            <w:pPr>
              <w:spacing w:after="0"/>
            </w:pPr>
            <w:r>
              <w:rPr>
                <w:sz w:val="16"/>
              </w:rPr>
              <w:t>17318</w:t>
            </w:r>
          </w:p>
        </w:tc>
      </w:tr>
      <w:tr>
        <w:tc>
          <w:tcPr>
            <w:tcW w:type="dxa" w:w="2556"/>
            <w:vAlign w:val="center"/>
          </w:tcPr>
          <w:p>
            <w:pPr>
              <w:spacing w:after="0"/>
            </w:pPr>
            <w:r>
              <w:rPr>
                <w:sz w:val="16"/>
              </w:rPr>
              <w:t>512</w:t>
            </w:r>
          </w:p>
        </w:tc>
        <w:tc>
          <w:tcPr>
            <w:tcW w:type="dxa" w:w="2556"/>
            <w:vAlign w:val="center"/>
          </w:tcPr>
          <w:p>
            <w:pPr>
              <w:spacing w:after="0"/>
            </w:pPr>
            <w:r>
              <w:rPr>
                <w:sz w:val="16"/>
              </w:rPr>
              <w:t>PTMT / Faucets</w:t>
            </w:r>
          </w:p>
        </w:tc>
        <w:tc>
          <w:tcPr>
            <w:tcW w:type="dxa" w:w="2556"/>
            <w:vAlign w:val="center"/>
          </w:tcPr>
          <w:p>
            <w:pPr>
              <w:spacing w:after="0"/>
            </w:pPr>
            <w:r>
              <w:rPr>
                <w:sz w:val="16"/>
              </w:rPr>
              <w:t>12313</w:t>
            </w:r>
          </w:p>
        </w:tc>
        <w:tc>
          <w:tcPr>
            <w:tcW w:type="dxa" w:w="2556"/>
            <w:vAlign w:val="center"/>
          </w:tcPr>
          <w:p>
            <w:pPr>
              <w:spacing w:after="0"/>
            </w:pPr>
            <w:r>
              <w:rPr>
                <w:sz w:val="16"/>
              </w:rPr>
              <w:t>17320</w:t>
            </w:r>
          </w:p>
        </w:tc>
      </w:tr>
      <w:tr>
        <w:tc>
          <w:tcPr>
            <w:tcW w:type="dxa" w:w="2556"/>
            <w:vAlign w:val="center"/>
          </w:tcPr>
          <w:p>
            <w:pPr>
              <w:spacing w:after="0"/>
            </w:pPr>
            <w:r>
              <w:rPr>
                <w:sz w:val="16"/>
              </w:rPr>
              <w:t>513</w:t>
            </w:r>
          </w:p>
        </w:tc>
        <w:tc>
          <w:tcPr>
            <w:tcW w:type="dxa" w:w="2556"/>
            <w:vAlign w:val="center"/>
          </w:tcPr>
          <w:p>
            <w:pPr>
              <w:spacing w:after="0"/>
            </w:pPr>
            <w:r>
              <w:rPr>
                <w:sz w:val="16"/>
              </w:rPr>
              <w:t>PTMT / Faucets</w:t>
            </w:r>
          </w:p>
        </w:tc>
        <w:tc>
          <w:tcPr>
            <w:tcW w:type="dxa" w:w="2556"/>
            <w:vAlign w:val="center"/>
          </w:tcPr>
          <w:p>
            <w:pPr>
              <w:spacing w:after="0"/>
            </w:pPr>
            <w:r>
              <w:rPr>
                <w:sz w:val="16"/>
              </w:rPr>
              <w:t>8905</w:t>
            </w:r>
          </w:p>
        </w:tc>
        <w:tc>
          <w:tcPr>
            <w:tcW w:type="dxa" w:w="2556"/>
            <w:vAlign w:val="center"/>
          </w:tcPr>
          <w:p>
            <w:pPr>
              <w:spacing w:after="0"/>
            </w:pPr>
            <w:r>
              <w:rPr>
                <w:sz w:val="16"/>
              </w:rPr>
              <w:t>17322</w:t>
            </w:r>
          </w:p>
        </w:tc>
      </w:tr>
      <w:tr>
        <w:tc>
          <w:tcPr>
            <w:tcW w:type="dxa" w:w="2556"/>
            <w:vAlign w:val="center"/>
          </w:tcPr>
          <w:p>
            <w:pPr>
              <w:spacing w:after="0"/>
            </w:pPr>
            <w:r>
              <w:rPr>
                <w:sz w:val="16"/>
              </w:rPr>
              <w:t>514</w:t>
            </w:r>
          </w:p>
        </w:tc>
        <w:tc>
          <w:tcPr>
            <w:tcW w:type="dxa" w:w="2556"/>
            <w:vAlign w:val="center"/>
          </w:tcPr>
          <w:p>
            <w:pPr>
              <w:spacing w:after="0"/>
            </w:pPr>
            <w:r>
              <w:rPr>
                <w:sz w:val="16"/>
              </w:rPr>
              <w:t>PTMT / Faucets</w:t>
            </w:r>
          </w:p>
        </w:tc>
        <w:tc>
          <w:tcPr>
            <w:tcW w:type="dxa" w:w="2556"/>
            <w:vAlign w:val="center"/>
          </w:tcPr>
          <w:p>
            <w:pPr>
              <w:spacing w:after="0"/>
            </w:pPr>
            <w:r>
              <w:rPr>
                <w:sz w:val="16"/>
              </w:rPr>
              <w:t>12316</w:t>
            </w:r>
          </w:p>
        </w:tc>
        <w:tc>
          <w:tcPr>
            <w:tcW w:type="dxa" w:w="2556"/>
            <w:vAlign w:val="center"/>
          </w:tcPr>
          <w:p>
            <w:pPr>
              <w:spacing w:after="0"/>
            </w:pPr>
            <w:r>
              <w:rPr>
                <w:sz w:val="16"/>
              </w:rPr>
              <w:t>17324</w:t>
            </w:r>
          </w:p>
        </w:tc>
      </w:tr>
      <w:tr>
        <w:tc>
          <w:tcPr>
            <w:tcW w:type="dxa" w:w="2556"/>
            <w:vAlign w:val="center"/>
          </w:tcPr>
          <w:p>
            <w:pPr>
              <w:spacing w:after="0"/>
            </w:pPr>
            <w:r>
              <w:rPr>
                <w:sz w:val="16"/>
              </w:rPr>
              <w:t>514-T</w:t>
            </w:r>
          </w:p>
        </w:tc>
        <w:tc>
          <w:tcPr>
            <w:tcW w:type="dxa" w:w="2556"/>
            <w:vAlign w:val="center"/>
          </w:tcPr>
          <w:p>
            <w:pPr>
              <w:spacing w:after="0"/>
            </w:pPr>
            <w:r>
              <w:rPr>
                <w:sz w:val="16"/>
              </w:rPr>
              <w:t>PTMT / Faucets</w:t>
            </w:r>
          </w:p>
        </w:tc>
        <w:tc>
          <w:tcPr>
            <w:tcW w:type="dxa" w:w="2556"/>
            <w:vAlign w:val="center"/>
          </w:tcPr>
          <w:p>
            <w:pPr>
              <w:spacing w:after="0"/>
            </w:pPr>
            <w:r>
              <w:rPr>
                <w:sz w:val="16"/>
              </w:rPr>
              <w:t>8913</w:t>
            </w:r>
          </w:p>
        </w:tc>
        <w:tc>
          <w:tcPr>
            <w:tcW w:type="dxa" w:w="2556"/>
            <w:vAlign w:val="center"/>
          </w:tcPr>
          <w:p>
            <w:pPr>
              <w:spacing w:after="0"/>
            </w:pPr>
            <w:r>
              <w:rPr>
                <w:sz w:val="16"/>
              </w:rPr>
              <w:t>17326</w:t>
            </w:r>
          </w:p>
        </w:tc>
      </w:tr>
      <w:tr>
        <w:tc>
          <w:tcPr>
            <w:tcW w:type="dxa" w:w="2556"/>
            <w:vAlign w:val="center"/>
          </w:tcPr>
          <w:p>
            <w:pPr>
              <w:spacing w:after="0"/>
            </w:pPr>
            <w:r>
              <w:rPr>
                <w:sz w:val="16"/>
              </w:rPr>
              <w:t>515</w:t>
            </w:r>
          </w:p>
        </w:tc>
        <w:tc>
          <w:tcPr>
            <w:tcW w:type="dxa" w:w="2556"/>
            <w:vAlign w:val="center"/>
          </w:tcPr>
          <w:p>
            <w:pPr>
              <w:spacing w:after="0"/>
            </w:pPr>
            <w:r>
              <w:rPr>
                <w:sz w:val="16"/>
              </w:rPr>
              <w:t>PTMT / Faucets</w:t>
            </w:r>
          </w:p>
        </w:tc>
        <w:tc>
          <w:tcPr>
            <w:tcW w:type="dxa" w:w="2556"/>
            <w:vAlign w:val="center"/>
          </w:tcPr>
          <w:p>
            <w:pPr>
              <w:spacing w:after="0"/>
            </w:pPr>
            <w:r>
              <w:rPr>
                <w:sz w:val="16"/>
              </w:rPr>
              <w:t>8921</w:t>
            </w:r>
          </w:p>
        </w:tc>
        <w:tc>
          <w:tcPr>
            <w:tcW w:type="dxa" w:w="2556"/>
            <w:vAlign w:val="center"/>
          </w:tcPr>
          <w:p>
            <w:pPr>
              <w:spacing w:after="0"/>
            </w:pPr>
            <w:r>
              <w:rPr>
                <w:sz w:val="16"/>
              </w:rPr>
              <w:t>17328</w:t>
            </w:r>
          </w:p>
        </w:tc>
      </w:tr>
      <w:tr>
        <w:tc>
          <w:tcPr>
            <w:tcW w:type="dxa" w:w="2556"/>
            <w:vAlign w:val="center"/>
          </w:tcPr>
          <w:p>
            <w:pPr>
              <w:spacing w:after="0"/>
            </w:pPr>
            <w:r>
              <w:rPr>
                <w:sz w:val="16"/>
              </w:rPr>
              <w:t>516</w:t>
            </w:r>
          </w:p>
        </w:tc>
        <w:tc>
          <w:tcPr>
            <w:tcW w:type="dxa" w:w="2556"/>
            <w:vAlign w:val="center"/>
          </w:tcPr>
          <w:p>
            <w:pPr>
              <w:spacing w:after="0"/>
            </w:pPr>
            <w:r>
              <w:rPr>
                <w:sz w:val="16"/>
              </w:rPr>
              <w:t>PTMT / Faucets</w:t>
            </w:r>
          </w:p>
        </w:tc>
        <w:tc>
          <w:tcPr>
            <w:tcW w:type="dxa" w:w="2556"/>
            <w:vAlign w:val="center"/>
          </w:tcPr>
          <w:p>
            <w:pPr>
              <w:spacing w:after="0"/>
            </w:pPr>
            <w:r>
              <w:rPr>
                <w:sz w:val="16"/>
              </w:rPr>
              <w:t>8928</w:t>
            </w:r>
          </w:p>
        </w:tc>
        <w:tc>
          <w:tcPr>
            <w:tcW w:type="dxa" w:w="2556"/>
            <w:vAlign w:val="center"/>
          </w:tcPr>
          <w:p>
            <w:pPr>
              <w:spacing w:after="0"/>
            </w:pPr>
            <w:r>
              <w:rPr>
                <w:sz w:val="16"/>
              </w:rPr>
              <w:t>17330</w:t>
            </w:r>
          </w:p>
        </w:tc>
      </w:tr>
      <w:tr>
        <w:tc>
          <w:tcPr>
            <w:tcW w:type="dxa" w:w="2556"/>
            <w:vAlign w:val="center"/>
          </w:tcPr>
          <w:p>
            <w:pPr>
              <w:spacing w:after="0"/>
            </w:pPr>
            <w:r>
              <w:rPr>
                <w:sz w:val="16"/>
              </w:rPr>
              <w:t>517</w:t>
            </w:r>
          </w:p>
        </w:tc>
        <w:tc>
          <w:tcPr>
            <w:tcW w:type="dxa" w:w="2556"/>
            <w:vAlign w:val="center"/>
          </w:tcPr>
          <w:p>
            <w:pPr>
              <w:spacing w:after="0"/>
            </w:pPr>
            <w:r>
              <w:rPr>
                <w:sz w:val="16"/>
              </w:rPr>
              <w:t>PTMT / Faucets</w:t>
            </w:r>
          </w:p>
        </w:tc>
        <w:tc>
          <w:tcPr>
            <w:tcW w:type="dxa" w:w="2556"/>
            <w:vAlign w:val="center"/>
          </w:tcPr>
          <w:p>
            <w:pPr>
              <w:spacing w:after="0"/>
            </w:pPr>
            <w:r>
              <w:rPr>
                <w:sz w:val="16"/>
              </w:rPr>
              <w:t>8934</w:t>
            </w:r>
          </w:p>
        </w:tc>
        <w:tc>
          <w:tcPr>
            <w:tcW w:type="dxa" w:w="2556"/>
            <w:vAlign w:val="center"/>
          </w:tcPr>
          <w:p>
            <w:pPr>
              <w:spacing w:after="0"/>
            </w:pPr>
            <w:r>
              <w:rPr>
                <w:sz w:val="16"/>
              </w:rPr>
              <w:t>17332</w:t>
            </w:r>
          </w:p>
        </w:tc>
      </w:tr>
      <w:tr>
        <w:tc>
          <w:tcPr>
            <w:tcW w:type="dxa" w:w="2556"/>
            <w:vAlign w:val="center"/>
          </w:tcPr>
          <w:p>
            <w:pPr>
              <w:spacing w:after="0"/>
            </w:pPr>
            <w:r>
              <w:rPr>
                <w:sz w:val="16"/>
              </w:rPr>
              <w:t>518</w:t>
            </w:r>
          </w:p>
        </w:tc>
        <w:tc>
          <w:tcPr>
            <w:tcW w:type="dxa" w:w="2556"/>
            <w:vAlign w:val="center"/>
          </w:tcPr>
          <w:p>
            <w:pPr>
              <w:spacing w:after="0"/>
            </w:pPr>
            <w:r>
              <w:rPr>
                <w:sz w:val="16"/>
              </w:rPr>
              <w:t>PTMT / Faucets</w:t>
            </w:r>
          </w:p>
        </w:tc>
        <w:tc>
          <w:tcPr>
            <w:tcW w:type="dxa" w:w="2556"/>
            <w:vAlign w:val="center"/>
          </w:tcPr>
          <w:p>
            <w:pPr>
              <w:spacing w:after="0"/>
            </w:pPr>
            <w:r>
              <w:rPr>
                <w:sz w:val="16"/>
              </w:rPr>
              <w:t>8938</w:t>
            </w:r>
          </w:p>
        </w:tc>
        <w:tc>
          <w:tcPr>
            <w:tcW w:type="dxa" w:w="2556"/>
            <w:vAlign w:val="center"/>
          </w:tcPr>
          <w:p>
            <w:pPr>
              <w:spacing w:after="0"/>
            </w:pPr>
            <w:r>
              <w:rPr>
                <w:sz w:val="16"/>
              </w:rPr>
              <w:t>17334</w:t>
            </w:r>
          </w:p>
        </w:tc>
      </w:tr>
      <w:tr>
        <w:tc>
          <w:tcPr>
            <w:tcW w:type="dxa" w:w="2556"/>
            <w:vAlign w:val="center"/>
          </w:tcPr>
          <w:p>
            <w:pPr>
              <w:spacing w:after="0"/>
            </w:pPr>
            <w:r>
              <w:rPr>
                <w:sz w:val="16"/>
              </w:rPr>
              <w:t>721</w:t>
            </w:r>
          </w:p>
        </w:tc>
        <w:tc>
          <w:tcPr>
            <w:tcW w:type="dxa" w:w="2556"/>
            <w:vAlign w:val="center"/>
          </w:tcPr>
          <w:p>
            <w:pPr>
              <w:spacing w:after="0"/>
            </w:pPr>
            <w:r>
              <w:rPr>
                <w:sz w:val="16"/>
              </w:rPr>
              <w:t>PTMT / Faucets</w:t>
            </w:r>
          </w:p>
        </w:tc>
        <w:tc>
          <w:tcPr>
            <w:tcW w:type="dxa" w:w="2556"/>
            <w:vAlign w:val="center"/>
          </w:tcPr>
          <w:p>
            <w:pPr>
              <w:spacing w:after="0"/>
            </w:pPr>
            <w:r>
              <w:rPr>
                <w:sz w:val="16"/>
              </w:rPr>
              <w:t>9296</w:t>
            </w:r>
          </w:p>
        </w:tc>
        <w:tc>
          <w:tcPr>
            <w:tcW w:type="dxa" w:w="2556"/>
            <w:vAlign w:val="center"/>
          </w:tcPr>
          <w:p>
            <w:pPr>
              <w:spacing w:after="0"/>
            </w:pPr>
            <w:r>
              <w:rPr>
                <w:sz w:val="16"/>
              </w:rPr>
              <w:t>17352</w:t>
            </w:r>
          </w:p>
        </w:tc>
      </w:tr>
      <w:tr>
        <w:tc>
          <w:tcPr>
            <w:tcW w:type="dxa" w:w="2556"/>
            <w:vAlign w:val="center"/>
          </w:tcPr>
          <w:p>
            <w:pPr>
              <w:spacing w:after="0"/>
            </w:pPr>
            <w:r>
              <w:rPr>
                <w:sz w:val="16"/>
              </w:rPr>
              <w:t>722</w:t>
            </w:r>
          </w:p>
        </w:tc>
        <w:tc>
          <w:tcPr>
            <w:tcW w:type="dxa" w:w="2556"/>
            <w:vAlign w:val="center"/>
          </w:tcPr>
          <w:p>
            <w:pPr>
              <w:spacing w:after="0"/>
            </w:pPr>
            <w:r>
              <w:rPr>
                <w:sz w:val="16"/>
              </w:rPr>
              <w:t>PTMT / Faucets</w:t>
            </w:r>
          </w:p>
        </w:tc>
        <w:tc>
          <w:tcPr>
            <w:tcW w:type="dxa" w:w="2556"/>
            <w:vAlign w:val="center"/>
          </w:tcPr>
          <w:p>
            <w:pPr>
              <w:spacing w:after="0"/>
            </w:pPr>
            <w:r>
              <w:rPr>
                <w:sz w:val="16"/>
              </w:rPr>
              <w:t>9303</w:t>
            </w:r>
          </w:p>
        </w:tc>
        <w:tc>
          <w:tcPr>
            <w:tcW w:type="dxa" w:w="2556"/>
            <w:vAlign w:val="center"/>
          </w:tcPr>
          <w:p>
            <w:pPr>
              <w:spacing w:after="0"/>
            </w:pPr>
            <w:r>
              <w:rPr>
                <w:sz w:val="16"/>
              </w:rPr>
              <w:t>17354</w:t>
            </w:r>
          </w:p>
        </w:tc>
      </w:tr>
      <w:tr>
        <w:tc>
          <w:tcPr>
            <w:tcW w:type="dxa" w:w="2556"/>
            <w:vAlign w:val="center"/>
          </w:tcPr>
          <w:p>
            <w:pPr>
              <w:spacing w:after="0"/>
            </w:pPr>
            <w:r>
              <w:rPr>
                <w:sz w:val="16"/>
              </w:rPr>
              <w:t>723</w:t>
            </w:r>
          </w:p>
        </w:tc>
        <w:tc>
          <w:tcPr>
            <w:tcW w:type="dxa" w:w="2556"/>
            <w:vAlign w:val="center"/>
          </w:tcPr>
          <w:p>
            <w:pPr>
              <w:spacing w:after="0"/>
            </w:pPr>
            <w:r>
              <w:rPr>
                <w:sz w:val="16"/>
              </w:rPr>
              <w:t>PTMT / Faucets</w:t>
            </w:r>
          </w:p>
        </w:tc>
        <w:tc>
          <w:tcPr>
            <w:tcW w:type="dxa" w:w="2556"/>
            <w:vAlign w:val="center"/>
          </w:tcPr>
          <w:p>
            <w:pPr>
              <w:spacing w:after="0"/>
            </w:pPr>
            <w:r>
              <w:rPr>
                <w:sz w:val="16"/>
              </w:rPr>
              <w:t>9307</w:t>
            </w:r>
          </w:p>
        </w:tc>
        <w:tc>
          <w:tcPr>
            <w:tcW w:type="dxa" w:w="2556"/>
            <w:vAlign w:val="center"/>
          </w:tcPr>
          <w:p>
            <w:pPr>
              <w:spacing w:after="0"/>
            </w:pPr>
            <w:r>
              <w:rPr>
                <w:sz w:val="16"/>
              </w:rPr>
              <w:t>17356</w:t>
            </w:r>
          </w:p>
        </w:tc>
      </w:tr>
      <w:tr>
        <w:tc>
          <w:tcPr>
            <w:tcW w:type="dxa" w:w="2556"/>
            <w:vAlign w:val="center"/>
          </w:tcPr>
          <w:p>
            <w:pPr>
              <w:spacing w:after="0"/>
            </w:pPr>
            <w:r>
              <w:rPr>
                <w:sz w:val="16"/>
              </w:rPr>
              <w:t>724</w:t>
            </w:r>
          </w:p>
        </w:tc>
        <w:tc>
          <w:tcPr>
            <w:tcW w:type="dxa" w:w="2556"/>
            <w:vAlign w:val="center"/>
          </w:tcPr>
          <w:p>
            <w:pPr>
              <w:spacing w:after="0"/>
            </w:pPr>
            <w:r>
              <w:rPr>
                <w:sz w:val="16"/>
              </w:rPr>
              <w:t>PTMT / Faucets</w:t>
            </w:r>
          </w:p>
        </w:tc>
        <w:tc>
          <w:tcPr>
            <w:tcW w:type="dxa" w:w="2556"/>
            <w:vAlign w:val="center"/>
          </w:tcPr>
          <w:p>
            <w:pPr>
              <w:spacing w:after="0"/>
            </w:pPr>
            <w:r>
              <w:rPr>
                <w:sz w:val="16"/>
              </w:rPr>
              <w:t>9308</w:t>
            </w:r>
          </w:p>
        </w:tc>
        <w:tc>
          <w:tcPr>
            <w:tcW w:type="dxa" w:w="2556"/>
            <w:vAlign w:val="center"/>
          </w:tcPr>
          <w:p>
            <w:pPr>
              <w:spacing w:after="0"/>
            </w:pPr>
            <w:r>
              <w:rPr>
                <w:sz w:val="16"/>
              </w:rPr>
              <w:t>17358</w:t>
            </w:r>
          </w:p>
        </w:tc>
      </w:tr>
      <w:tr>
        <w:tc>
          <w:tcPr>
            <w:tcW w:type="dxa" w:w="2556"/>
            <w:vAlign w:val="center"/>
          </w:tcPr>
          <w:p>
            <w:pPr>
              <w:spacing w:after="0"/>
            </w:pPr>
            <w:r>
              <w:rPr>
                <w:sz w:val="16"/>
              </w:rPr>
              <w:t>725</w:t>
            </w:r>
          </w:p>
        </w:tc>
        <w:tc>
          <w:tcPr>
            <w:tcW w:type="dxa" w:w="2556"/>
            <w:vAlign w:val="center"/>
          </w:tcPr>
          <w:p>
            <w:pPr>
              <w:spacing w:after="0"/>
            </w:pPr>
            <w:r>
              <w:rPr>
                <w:sz w:val="16"/>
              </w:rPr>
              <w:t>PTMT / Faucets</w:t>
            </w:r>
          </w:p>
        </w:tc>
        <w:tc>
          <w:tcPr>
            <w:tcW w:type="dxa" w:w="2556"/>
            <w:vAlign w:val="center"/>
          </w:tcPr>
          <w:p>
            <w:pPr>
              <w:spacing w:after="0"/>
            </w:pPr>
            <w:r>
              <w:rPr>
                <w:sz w:val="16"/>
              </w:rPr>
              <w:t>9309</w:t>
            </w:r>
          </w:p>
        </w:tc>
        <w:tc>
          <w:tcPr>
            <w:tcW w:type="dxa" w:w="2556"/>
            <w:vAlign w:val="center"/>
          </w:tcPr>
          <w:p>
            <w:pPr>
              <w:spacing w:after="0"/>
            </w:pPr>
            <w:r>
              <w:rPr>
                <w:sz w:val="16"/>
              </w:rPr>
              <w:t>17360</w:t>
            </w:r>
          </w:p>
        </w:tc>
      </w:tr>
      <w:tr>
        <w:tc>
          <w:tcPr>
            <w:tcW w:type="dxa" w:w="2556"/>
            <w:vAlign w:val="center"/>
          </w:tcPr>
          <w:p>
            <w:pPr>
              <w:spacing w:after="0"/>
            </w:pPr>
            <w:r>
              <w:rPr>
                <w:sz w:val="16"/>
              </w:rPr>
              <w:t>CB-02</w:t>
            </w:r>
          </w:p>
        </w:tc>
        <w:tc>
          <w:tcPr>
            <w:tcW w:type="dxa" w:w="2556"/>
            <w:vAlign w:val="center"/>
          </w:tcPr>
          <w:p>
            <w:pPr>
              <w:spacing w:after="0"/>
            </w:pPr>
            <w:r>
              <w:rPr>
                <w:sz w:val="16"/>
              </w:rPr>
              <w:t>PTMT / Faucets</w:t>
            </w:r>
          </w:p>
        </w:tc>
        <w:tc>
          <w:tcPr>
            <w:tcW w:type="dxa" w:w="2556"/>
            <w:vAlign w:val="center"/>
          </w:tcPr>
          <w:p>
            <w:pPr>
              <w:spacing w:after="0"/>
            </w:pPr>
            <w:r>
              <w:rPr>
                <w:sz w:val="16"/>
              </w:rPr>
              <w:t>10236</w:t>
            </w:r>
          </w:p>
        </w:tc>
        <w:tc>
          <w:tcPr>
            <w:tcW w:type="dxa" w:w="2556"/>
            <w:vAlign w:val="center"/>
          </w:tcPr>
          <w:p>
            <w:pPr>
              <w:spacing w:after="0"/>
            </w:pPr>
            <w:r>
              <w:rPr>
                <w:sz w:val="16"/>
              </w:rPr>
              <w:t>17362</w:t>
            </w:r>
          </w:p>
        </w:tc>
      </w:tr>
      <w:tr>
        <w:tc>
          <w:tcPr>
            <w:tcW w:type="dxa" w:w="2556"/>
            <w:vAlign w:val="center"/>
          </w:tcPr>
          <w:p>
            <w:pPr>
              <w:spacing w:after="0"/>
            </w:pPr>
            <w:r>
              <w:rPr>
                <w:sz w:val="16"/>
              </w:rPr>
              <w:t>CF-01</w:t>
            </w:r>
          </w:p>
        </w:tc>
        <w:tc>
          <w:tcPr>
            <w:tcW w:type="dxa" w:w="2556"/>
            <w:vAlign w:val="center"/>
          </w:tcPr>
          <w:p>
            <w:pPr>
              <w:spacing w:after="0"/>
            </w:pPr>
            <w:r>
              <w:rPr>
                <w:sz w:val="16"/>
              </w:rPr>
              <w:t>PTMT / Faucets</w:t>
            </w:r>
          </w:p>
        </w:tc>
        <w:tc>
          <w:tcPr>
            <w:tcW w:type="dxa" w:w="2556"/>
            <w:vAlign w:val="center"/>
          </w:tcPr>
          <w:p>
            <w:pPr>
              <w:spacing w:after="0"/>
            </w:pPr>
            <w:r>
              <w:rPr>
                <w:sz w:val="16"/>
              </w:rPr>
              <w:t>10241</w:t>
            </w:r>
          </w:p>
        </w:tc>
        <w:tc>
          <w:tcPr>
            <w:tcW w:type="dxa" w:w="2556"/>
            <w:vAlign w:val="center"/>
          </w:tcPr>
          <w:p>
            <w:pPr>
              <w:spacing w:after="0"/>
            </w:pPr>
            <w:r>
              <w:rPr>
                <w:sz w:val="16"/>
              </w:rPr>
              <w:t>17364</w:t>
            </w:r>
          </w:p>
        </w:tc>
      </w:tr>
      <w:tr>
        <w:tc>
          <w:tcPr>
            <w:tcW w:type="dxa" w:w="2556"/>
            <w:vAlign w:val="center"/>
          </w:tcPr>
          <w:p>
            <w:pPr>
              <w:spacing w:after="0"/>
            </w:pPr>
            <w:r>
              <w:rPr>
                <w:sz w:val="16"/>
              </w:rPr>
              <w:t>CF-03</w:t>
            </w:r>
          </w:p>
        </w:tc>
        <w:tc>
          <w:tcPr>
            <w:tcW w:type="dxa" w:w="2556"/>
            <w:vAlign w:val="center"/>
          </w:tcPr>
          <w:p>
            <w:pPr>
              <w:spacing w:after="0"/>
            </w:pPr>
            <w:r>
              <w:rPr>
                <w:sz w:val="16"/>
              </w:rPr>
              <w:t>PTMT / Faucets</w:t>
            </w:r>
          </w:p>
        </w:tc>
        <w:tc>
          <w:tcPr>
            <w:tcW w:type="dxa" w:w="2556"/>
            <w:vAlign w:val="center"/>
          </w:tcPr>
          <w:p>
            <w:pPr>
              <w:spacing w:after="0"/>
            </w:pPr>
            <w:r>
              <w:rPr>
                <w:sz w:val="16"/>
              </w:rPr>
              <w:t>10242</w:t>
            </w:r>
          </w:p>
        </w:tc>
        <w:tc>
          <w:tcPr>
            <w:tcW w:type="dxa" w:w="2556"/>
            <w:vAlign w:val="center"/>
          </w:tcPr>
          <w:p>
            <w:pPr>
              <w:spacing w:after="0"/>
            </w:pPr>
            <w:r>
              <w:rPr>
                <w:sz w:val="16"/>
              </w:rPr>
              <w:t>17366</w:t>
            </w:r>
          </w:p>
        </w:tc>
      </w:tr>
      <w:tr>
        <w:tc>
          <w:tcPr>
            <w:tcW w:type="dxa" w:w="2556"/>
            <w:vAlign w:val="center"/>
          </w:tcPr>
          <w:p>
            <w:pPr>
              <w:spacing w:after="0"/>
            </w:pPr>
            <w:r>
              <w:rPr>
                <w:sz w:val="16"/>
              </w:rPr>
              <w:t>CH-01</w:t>
            </w:r>
          </w:p>
        </w:tc>
        <w:tc>
          <w:tcPr>
            <w:tcW w:type="dxa" w:w="2556"/>
            <w:vAlign w:val="center"/>
          </w:tcPr>
          <w:p>
            <w:pPr>
              <w:spacing w:after="0"/>
            </w:pPr>
            <w:r>
              <w:rPr>
                <w:sz w:val="16"/>
              </w:rPr>
              <w:t>PTMT / Faucets</w:t>
            </w:r>
          </w:p>
        </w:tc>
        <w:tc>
          <w:tcPr>
            <w:tcW w:type="dxa" w:w="2556"/>
            <w:vAlign w:val="center"/>
          </w:tcPr>
          <w:p>
            <w:pPr>
              <w:spacing w:after="0"/>
            </w:pPr>
            <w:r>
              <w:rPr>
                <w:sz w:val="16"/>
              </w:rPr>
              <w:t>10246</w:t>
            </w:r>
          </w:p>
        </w:tc>
        <w:tc>
          <w:tcPr>
            <w:tcW w:type="dxa" w:w="2556"/>
            <w:vAlign w:val="center"/>
          </w:tcPr>
          <w:p>
            <w:pPr>
              <w:spacing w:after="0"/>
            </w:pPr>
            <w:r>
              <w:rPr>
                <w:sz w:val="16"/>
              </w:rPr>
              <w:t>17368</w:t>
            </w:r>
          </w:p>
        </w:tc>
      </w:tr>
      <w:tr>
        <w:tc>
          <w:tcPr>
            <w:tcW w:type="dxa" w:w="2556"/>
            <w:vAlign w:val="center"/>
          </w:tcPr>
          <w:p>
            <w:pPr>
              <w:spacing w:after="0"/>
            </w:pPr>
            <w:r>
              <w:rPr>
                <w:sz w:val="16"/>
              </w:rPr>
              <w:t>CNS-15</w:t>
            </w:r>
          </w:p>
        </w:tc>
        <w:tc>
          <w:tcPr>
            <w:tcW w:type="dxa" w:w="2556"/>
            <w:vAlign w:val="center"/>
          </w:tcPr>
          <w:p>
            <w:pPr>
              <w:spacing w:after="0"/>
            </w:pPr>
            <w:r>
              <w:rPr>
                <w:sz w:val="16"/>
              </w:rPr>
              <w:t>CP (Chrome-Plated)</w:t>
            </w:r>
          </w:p>
        </w:tc>
        <w:tc>
          <w:tcPr>
            <w:tcW w:type="dxa" w:w="2556"/>
            <w:vAlign w:val="center"/>
          </w:tcPr>
          <w:p>
            <w:pPr>
              <w:spacing w:after="0"/>
            </w:pPr>
            <w:r>
              <w:rPr>
                <w:sz w:val="16"/>
              </w:rPr>
              <w:t>10284</w:t>
            </w:r>
          </w:p>
        </w:tc>
        <w:tc>
          <w:tcPr>
            <w:tcW w:type="dxa" w:w="2556"/>
            <w:vAlign w:val="center"/>
          </w:tcPr>
          <w:p>
            <w:pPr>
              <w:spacing w:after="0"/>
            </w:pPr>
            <w:r>
              <w:rPr>
                <w:sz w:val="16"/>
              </w:rPr>
              <w:t>17369</w:t>
            </w:r>
          </w:p>
        </w:tc>
      </w:tr>
      <w:tr>
        <w:tc>
          <w:tcPr>
            <w:tcW w:type="dxa" w:w="2556"/>
            <w:vAlign w:val="center"/>
          </w:tcPr>
          <w:p>
            <w:pPr>
              <w:spacing w:after="0"/>
            </w:pPr>
            <w:r>
              <w:rPr>
                <w:sz w:val="16"/>
              </w:rPr>
              <w:t>CNS-20</w:t>
            </w:r>
          </w:p>
        </w:tc>
        <w:tc>
          <w:tcPr>
            <w:tcW w:type="dxa" w:w="2556"/>
            <w:vAlign w:val="center"/>
          </w:tcPr>
          <w:p>
            <w:pPr>
              <w:spacing w:after="0"/>
            </w:pPr>
            <w:r>
              <w:rPr>
                <w:sz w:val="16"/>
              </w:rPr>
              <w:t>CP (Chrome-Plated)</w:t>
            </w:r>
          </w:p>
        </w:tc>
        <w:tc>
          <w:tcPr>
            <w:tcW w:type="dxa" w:w="2556"/>
            <w:vAlign w:val="center"/>
          </w:tcPr>
          <w:p>
            <w:pPr>
              <w:spacing w:after="0"/>
            </w:pPr>
            <w:r>
              <w:rPr>
                <w:sz w:val="16"/>
              </w:rPr>
              <w:t>10285</w:t>
            </w:r>
          </w:p>
        </w:tc>
        <w:tc>
          <w:tcPr>
            <w:tcW w:type="dxa" w:w="2556"/>
            <w:vAlign w:val="center"/>
          </w:tcPr>
          <w:p>
            <w:pPr>
              <w:spacing w:after="0"/>
            </w:pPr>
            <w:r>
              <w:rPr>
                <w:sz w:val="16"/>
              </w:rPr>
              <w:t>17371</w:t>
            </w:r>
          </w:p>
        </w:tc>
      </w:tr>
      <w:tr>
        <w:tc>
          <w:tcPr>
            <w:tcW w:type="dxa" w:w="2556"/>
            <w:vAlign w:val="center"/>
          </w:tcPr>
          <w:p>
            <w:pPr>
              <w:spacing w:after="0"/>
            </w:pPr>
            <w:r>
              <w:rPr>
                <w:sz w:val="16"/>
              </w:rPr>
              <w:t>CS-01</w:t>
            </w:r>
          </w:p>
        </w:tc>
        <w:tc>
          <w:tcPr>
            <w:tcW w:type="dxa" w:w="2556"/>
            <w:vAlign w:val="center"/>
          </w:tcPr>
          <w:p>
            <w:pPr>
              <w:spacing w:after="0"/>
            </w:pPr>
            <w:r>
              <w:rPr>
                <w:sz w:val="16"/>
              </w:rPr>
              <w:t>PTMT / Faucets</w:t>
            </w:r>
          </w:p>
        </w:tc>
        <w:tc>
          <w:tcPr>
            <w:tcW w:type="dxa" w:w="2556"/>
            <w:vAlign w:val="center"/>
          </w:tcPr>
          <w:p>
            <w:pPr>
              <w:spacing w:after="0"/>
            </w:pPr>
            <w:r>
              <w:rPr>
                <w:sz w:val="16"/>
              </w:rPr>
              <w:t>10382</w:t>
            </w:r>
          </w:p>
        </w:tc>
        <w:tc>
          <w:tcPr>
            <w:tcW w:type="dxa" w:w="2556"/>
            <w:vAlign w:val="center"/>
          </w:tcPr>
          <w:p>
            <w:pPr>
              <w:spacing w:after="0"/>
            </w:pPr>
            <w:r>
              <w:rPr>
                <w:sz w:val="16"/>
              </w:rPr>
              <w:t>17374</w:t>
            </w:r>
          </w:p>
        </w:tc>
      </w:tr>
      <w:tr>
        <w:tc>
          <w:tcPr>
            <w:tcW w:type="dxa" w:w="2556"/>
            <w:vAlign w:val="center"/>
          </w:tcPr>
          <w:p>
            <w:pPr>
              <w:spacing w:after="0"/>
            </w:pPr>
            <w:r>
              <w:rPr>
                <w:sz w:val="16"/>
              </w:rPr>
              <w:t>DB-01</w:t>
            </w:r>
          </w:p>
        </w:tc>
        <w:tc>
          <w:tcPr>
            <w:tcW w:type="dxa" w:w="2556"/>
            <w:vAlign w:val="center"/>
          </w:tcPr>
          <w:p>
            <w:pPr>
              <w:spacing w:after="0"/>
            </w:pPr>
            <w:r>
              <w:rPr>
                <w:sz w:val="16"/>
              </w:rPr>
              <w:t>PTMT / Faucets</w:t>
            </w:r>
          </w:p>
        </w:tc>
        <w:tc>
          <w:tcPr>
            <w:tcW w:type="dxa" w:w="2556"/>
            <w:vAlign w:val="center"/>
          </w:tcPr>
          <w:p>
            <w:pPr>
              <w:spacing w:after="0"/>
            </w:pPr>
            <w:r>
              <w:rPr>
                <w:sz w:val="16"/>
              </w:rPr>
              <w:t>10393</w:t>
            </w:r>
          </w:p>
        </w:tc>
        <w:tc>
          <w:tcPr>
            <w:tcW w:type="dxa" w:w="2556"/>
            <w:vAlign w:val="center"/>
          </w:tcPr>
          <w:p>
            <w:pPr>
              <w:spacing w:after="0"/>
            </w:pPr>
            <w:r>
              <w:rPr>
                <w:sz w:val="16"/>
              </w:rPr>
              <w:t>17376</w:t>
            </w:r>
          </w:p>
        </w:tc>
      </w:tr>
      <w:tr>
        <w:tc>
          <w:tcPr>
            <w:tcW w:type="dxa" w:w="2556"/>
            <w:vAlign w:val="center"/>
          </w:tcPr>
          <w:p>
            <w:pPr>
              <w:spacing w:after="0"/>
            </w:pPr>
            <w:r>
              <w:rPr>
                <w:sz w:val="16"/>
              </w:rPr>
              <w:t>DB-02</w:t>
            </w:r>
          </w:p>
        </w:tc>
        <w:tc>
          <w:tcPr>
            <w:tcW w:type="dxa" w:w="2556"/>
            <w:vAlign w:val="center"/>
          </w:tcPr>
          <w:p>
            <w:pPr>
              <w:spacing w:after="0"/>
            </w:pPr>
            <w:r>
              <w:rPr>
                <w:sz w:val="16"/>
              </w:rPr>
              <w:t>PTMT / Faucets</w:t>
            </w:r>
          </w:p>
        </w:tc>
        <w:tc>
          <w:tcPr>
            <w:tcW w:type="dxa" w:w="2556"/>
            <w:vAlign w:val="center"/>
          </w:tcPr>
          <w:p>
            <w:pPr>
              <w:spacing w:after="0"/>
            </w:pPr>
            <w:r>
              <w:rPr>
                <w:sz w:val="16"/>
              </w:rPr>
              <w:t>10394</w:t>
            </w:r>
          </w:p>
        </w:tc>
        <w:tc>
          <w:tcPr>
            <w:tcW w:type="dxa" w:w="2556"/>
            <w:vAlign w:val="center"/>
          </w:tcPr>
          <w:p>
            <w:pPr>
              <w:spacing w:after="0"/>
            </w:pPr>
            <w:r>
              <w:rPr>
                <w:sz w:val="16"/>
              </w:rPr>
              <w:t>17378</w:t>
            </w:r>
          </w:p>
        </w:tc>
      </w:tr>
      <w:tr>
        <w:tc>
          <w:tcPr>
            <w:tcW w:type="dxa" w:w="2556"/>
            <w:vAlign w:val="center"/>
          </w:tcPr>
          <w:p>
            <w:pPr>
              <w:spacing w:after="0"/>
            </w:pPr>
            <w:r>
              <w:rPr>
                <w:sz w:val="16"/>
              </w:rPr>
              <w:t>DB-02L</w:t>
            </w:r>
          </w:p>
        </w:tc>
        <w:tc>
          <w:tcPr>
            <w:tcW w:type="dxa" w:w="2556"/>
            <w:vAlign w:val="center"/>
          </w:tcPr>
          <w:p>
            <w:pPr>
              <w:spacing w:after="0"/>
            </w:pPr>
            <w:r>
              <w:rPr>
                <w:sz w:val="16"/>
              </w:rPr>
              <w:t>PTMT / Faucets</w:t>
            </w:r>
          </w:p>
        </w:tc>
        <w:tc>
          <w:tcPr>
            <w:tcW w:type="dxa" w:w="2556"/>
            <w:vAlign w:val="center"/>
          </w:tcPr>
          <w:p>
            <w:pPr>
              <w:spacing w:after="0"/>
            </w:pPr>
            <w:r>
              <w:rPr>
                <w:sz w:val="16"/>
              </w:rPr>
              <w:t>10395</w:t>
            </w:r>
          </w:p>
        </w:tc>
        <w:tc>
          <w:tcPr>
            <w:tcW w:type="dxa" w:w="2556"/>
            <w:vAlign w:val="center"/>
          </w:tcPr>
          <w:p>
            <w:pPr>
              <w:spacing w:after="0"/>
            </w:pPr>
            <w:r>
              <w:rPr>
                <w:sz w:val="16"/>
              </w:rPr>
              <w:t>17380</w:t>
            </w:r>
          </w:p>
        </w:tc>
      </w:tr>
      <w:tr>
        <w:tc>
          <w:tcPr>
            <w:tcW w:type="dxa" w:w="2556"/>
            <w:vAlign w:val="center"/>
          </w:tcPr>
          <w:p>
            <w:pPr>
              <w:spacing w:after="0"/>
            </w:pPr>
            <w:r>
              <w:rPr>
                <w:sz w:val="16"/>
              </w:rPr>
              <w:t>DB-04</w:t>
            </w:r>
          </w:p>
        </w:tc>
        <w:tc>
          <w:tcPr>
            <w:tcW w:type="dxa" w:w="2556"/>
            <w:vAlign w:val="center"/>
          </w:tcPr>
          <w:p>
            <w:pPr>
              <w:spacing w:after="0"/>
            </w:pPr>
            <w:r>
              <w:rPr>
                <w:sz w:val="16"/>
              </w:rPr>
              <w:t>PTMT / Faucets</w:t>
            </w:r>
          </w:p>
        </w:tc>
        <w:tc>
          <w:tcPr>
            <w:tcW w:type="dxa" w:w="2556"/>
            <w:vAlign w:val="center"/>
          </w:tcPr>
          <w:p>
            <w:pPr>
              <w:spacing w:after="0"/>
            </w:pPr>
            <w:r>
              <w:rPr>
                <w:sz w:val="16"/>
              </w:rPr>
              <w:t>13751</w:t>
            </w:r>
          </w:p>
        </w:tc>
        <w:tc>
          <w:tcPr>
            <w:tcW w:type="dxa" w:w="2556"/>
            <w:vAlign w:val="center"/>
          </w:tcPr>
          <w:p>
            <w:pPr>
              <w:spacing w:after="0"/>
            </w:pPr>
            <w:r>
              <w:rPr>
                <w:sz w:val="16"/>
              </w:rPr>
              <w:t>17382</w:t>
            </w:r>
          </w:p>
        </w:tc>
      </w:tr>
      <w:tr>
        <w:tc>
          <w:tcPr>
            <w:tcW w:type="dxa" w:w="2556"/>
            <w:vAlign w:val="center"/>
          </w:tcPr>
          <w:p>
            <w:pPr>
              <w:spacing w:after="0"/>
            </w:pPr>
            <w:r>
              <w:rPr>
                <w:sz w:val="16"/>
              </w:rPr>
              <w:t>DF-01</w:t>
            </w:r>
          </w:p>
        </w:tc>
        <w:tc>
          <w:tcPr>
            <w:tcW w:type="dxa" w:w="2556"/>
            <w:vAlign w:val="center"/>
          </w:tcPr>
          <w:p>
            <w:pPr>
              <w:spacing w:after="0"/>
            </w:pPr>
            <w:r>
              <w:rPr>
                <w:sz w:val="16"/>
              </w:rPr>
              <w:t>PTMT / Faucets</w:t>
            </w:r>
          </w:p>
        </w:tc>
        <w:tc>
          <w:tcPr>
            <w:tcW w:type="dxa" w:w="2556"/>
            <w:vAlign w:val="center"/>
          </w:tcPr>
          <w:p>
            <w:pPr>
              <w:spacing w:after="0"/>
            </w:pPr>
            <w:r>
              <w:rPr>
                <w:sz w:val="16"/>
              </w:rPr>
              <w:t>10452</w:t>
            </w:r>
          </w:p>
        </w:tc>
        <w:tc>
          <w:tcPr>
            <w:tcW w:type="dxa" w:w="2556"/>
            <w:vAlign w:val="center"/>
          </w:tcPr>
          <w:p>
            <w:pPr>
              <w:spacing w:after="0"/>
            </w:pPr>
            <w:r>
              <w:rPr>
                <w:sz w:val="16"/>
              </w:rPr>
              <w:t>17384</w:t>
            </w:r>
          </w:p>
        </w:tc>
      </w:tr>
      <w:tr>
        <w:tc>
          <w:tcPr>
            <w:tcW w:type="dxa" w:w="2556"/>
            <w:vAlign w:val="center"/>
          </w:tcPr>
          <w:p>
            <w:pPr>
              <w:spacing w:after="0"/>
            </w:pPr>
            <w:r>
              <w:rPr>
                <w:sz w:val="16"/>
              </w:rPr>
              <w:t>RB-45</w:t>
            </w:r>
          </w:p>
        </w:tc>
        <w:tc>
          <w:tcPr>
            <w:tcW w:type="dxa" w:w="2556"/>
            <w:vAlign w:val="center"/>
          </w:tcPr>
          <w:p>
            <w:pPr>
              <w:spacing w:after="0"/>
            </w:pPr>
            <w:r>
              <w:rPr>
                <w:sz w:val="16"/>
              </w:rPr>
              <w:t>CP (Chrome-Plated)</w:t>
            </w:r>
          </w:p>
        </w:tc>
        <w:tc>
          <w:tcPr>
            <w:tcW w:type="dxa" w:w="2556"/>
            <w:vAlign w:val="center"/>
          </w:tcPr>
          <w:p>
            <w:pPr>
              <w:spacing w:after="0"/>
            </w:pPr>
            <w:r>
              <w:rPr>
                <w:sz w:val="16"/>
              </w:rPr>
              <w:t>11262</w:t>
            </w:r>
          </w:p>
        </w:tc>
        <w:tc>
          <w:tcPr>
            <w:tcW w:type="dxa" w:w="2556"/>
            <w:vAlign w:val="center"/>
          </w:tcPr>
          <w:p>
            <w:pPr>
              <w:spacing w:after="0"/>
            </w:pPr>
            <w:r>
              <w:rPr>
                <w:sz w:val="16"/>
              </w:rPr>
              <w:t>17387</w:t>
            </w:r>
          </w:p>
        </w:tc>
      </w:tr>
      <w:tr>
        <w:tc>
          <w:tcPr>
            <w:tcW w:type="dxa" w:w="2556"/>
            <w:vAlign w:val="center"/>
          </w:tcPr>
          <w:p>
            <w:pPr>
              <w:spacing w:after="0"/>
            </w:pPr>
            <w:r>
              <w:rPr>
                <w:sz w:val="16"/>
              </w:rPr>
              <w:t>RB-46</w:t>
            </w:r>
          </w:p>
        </w:tc>
        <w:tc>
          <w:tcPr>
            <w:tcW w:type="dxa" w:w="2556"/>
            <w:vAlign w:val="center"/>
          </w:tcPr>
          <w:p>
            <w:pPr>
              <w:spacing w:after="0"/>
            </w:pPr>
            <w:r>
              <w:rPr>
                <w:sz w:val="16"/>
              </w:rPr>
              <w:t>CP (Chrome-Plated)</w:t>
            </w:r>
          </w:p>
        </w:tc>
        <w:tc>
          <w:tcPr>
            <w:tcW w:type="dxa" w:w="2556"/>
            <w:vAlign w:val="center"/>
          </w:tcPr>
          <w:p>
            <w:pPr>
              <w:spacing w:after="0"/>
            </w:pPr>
            <w:r>
              <w:rPr>
                <w:sz w:val="16"/>
              </w:rPr>
              <w:t>11263</w:t>
            </w:r>
          </w:p>
        </w:tc>
        <w:tc>
          <w:tcPr>
            <w:tcW w:type="dxa" w:w="2556"/>
            <w:vAlign w:val="center"/>
          </w:tcPr>
          <w:p>
            <w:pPr>
              <w:spacing w:after="0"/>
            </w:pPr>
            <w:r>
              <w:rPr>
                <w:sz w:val="16"/>
              </w:rPr>
              <w:t>17389</w:t>
            </w:r>
          </w:p>
        </w:tc>
      </w:tr>
      <w:tr>
        <w:tc>
          <w:tcPr>
            <w:tcW w:type="dxa" w:w="2556"/>
            <w:vAlign w:val="center"/>
          </w:tcPr>
          <w:p>
            <w:pPr>
              <w:spacing w:after="0"/>
            </w:pPr>
            <w:r>
              <w:rPr>
                <w:sz w:val="16"/>
              </w:rPr>
              <w:t>SB-01</w:t>
            </w:r>
          </w:p>
        </w:tc>
        <w:tc>
          <w:tcPr>
            <w:tcW w:type="dxa" w:w="2556"/>
            <w:vAlign w:val="center"/>
          </w:tcPr>
          <w:p>
            <w:pPr>
              <w:spacing w:after="0"/>
            </w:pPr>
            <w:r>
              <w:rPr>
                <w:sz w:val="16"/>
              </w:rPr>
              <w:t>PTMT / Faucets</w:t>
            </w:r>
          </w:p>
        </w:tc>
        <w:tc>
          <w:tcPr>
            <w:tcW w:type="dxa" w:w="2556"/>
            <w:vAlign w:val="center"/>
          </w:tcPr>
          <w:p>
            <w:pPr>
              <w:spacing w:after="0"/>
            </w:pPr>
            <w:r>
              <w:rPr>
                <w:sz w:val="16"/>
              </w:rPr>
              <w:t>11282</w:t>
            </w:r>
          </w:p>
        </w:tc>
        <w:tc>
          <w:tcPr>
            <w:tcW w:type="dxa" w:w="2556"/>
            <w:vAlign w:val="center"/>
          </w:tcPr>
          <w:p>
            <w:pPr>
              <w:spacing w:after="0"/>
            </w:pPr>
            <w:r>
              <w:rPr>
                <w:sz w:val="16"/>
              </w:rPr>
              <w:t>17392</w:t>
            </w:r>
          </w:p>
        </w:tc>
      </w:tr>
      <w:tr>
        <w:tc>
          <w:tcPr>
            <w:tcW w:type="dxa" w:w="2556"/>
            <w:vAlign w:val="center"/>
          </w:tcPr>
          <w:p>
            <w:pPr>
              <w:spacing w:after="0"/>
            </w:pPr>
            <w:r>
              <w:rPr>
                <w:sz w:val="16"/>
              </w:rPr>
              <w:t>SF-01</w:t>
            </w:r>
          </w:p>
        </w:tc>
        <w:tc>
          <w:tcPr>
            <w:tcW w:type="dxa" w:w="2556"/>
            <w:vAlign w:val="center"/>
          </w:tcPr>
          <w:p>
            <w:pPr>
              <w:spacing w:after="0"/>
            </w:pPr>
            <w:r>
              <w:rPr>
                <w:sz w:val="16"/>
              </w:rPr>
              <w:t>Sanitaryware</w:t>
            </w:r>
          </w:p>
        </w:tc>
        <w:tc>
          <w:tcPr>
            <w:tcW w:type="dxa" w:w="2556"/>
            <w:vAlign w:val="center"/>
          </w:tcPr>
          <w:p>
            <w:pPr>
              <w:spacing w:after="0"/>
            </w:pPr>
            <w:r>
              <w:rPr>
                <w:sz w:val="16"/>
              </w:rPr>
              <w:t>14937</w:t>
            </w:r>
          </w:p>
        </w:tc>
        <w:tc>
          <w:tcPr>
            <w:tcW w:type="dxa" w:w="2556"/>
            <w:vAlign w:val="center"/>
          </w:tcPr>
          <w:p>
            <w:pPr>
              <w:spacing w:after="0"/>
            </w:pPr>
            <w:r>
              <w:rPr>
                <w:sz w:val="16"/>
              </w:rPr>
              <w:t>17393</w:t>
            </w:r>
          </w:p>
        </w:tc>
      </w:tr>
      <w:tr>
        <w:tc>
          <w:tcPr>
            <w:tcW w:type="dxa" w:w="2556"/>
            <w:vAlign w:val="center"/>
          </w:tcPr>
          <w:p>
            <w:pPr>
              <w:spacing w:after="0"/>
            </w:pPr>
            <w:r>
              <w:rPr>
                <w:sz w:val="16"/>
              </w:rPr>
              <w:t>SF-02</w:t>
            </w:r>
          </w:p>
        </w:tc>
        <w:tc>
          <w:tcPr>
            <w:tcW w:type="dxa" w:w="2556"/>
            <w:vAlign w:val="center"/>
          </w:tcPr>
          <w:p>
            <w:pPr>
              <w:spacing w:after="0"/>
            </w:pPr>
            <w:r>
              <w:rPr>
                <w:sz w:val="16"/>
              </w:rPr>
              <w:t>Sanitaryware</w:t>
            </w:r>
          </w:p>
        </w:tc>
        <w:tc>
          <w:tcPr>
            <w:tcW w:type="dxa" w:w="2556"/>
            <w:vAlign w:val="center"/>
          </w:tcPr>
          <w:p>
            <w:pPr>
              <w:spacing w:after="0"/>
            </w:pPr>
            <w:r>
              <w:rPr>
                <w:sz w:val="16"/>
              </w:rPr>
              <w:t>11286</w:t>
            </w:r>
          </w:p>
        </w:tc>
        <w:tc>
          <w:tcPr>
            <w:tcW w:type="dxa" w:w="2556"/>
            <w:vAlign w:val="center"/>
          </w:tcPr>
          <w:p>
            <w:pPr>
              <w:spacing w:after="0"/>
            </w:pPr>
            <w:r>
              <w:rPr>
                <w:sz w:val="16"/>
              </w:rPr>
              <w:t>17395</w:t>
            </w:r>
          </w:p>
        </w:tc>
      </w:tr>
      <w:tr>
        <w:tc>
          <w:tcPr>
            <w:tcW w:type="dxa" w:w="2556"/>
            <w:vAlign w:val="center"/>
          </w:tcPr>
          <w:p>
            <w:pPr>
              <w:spacing w:after="0"/>
            </w:pPr>
            <w:r>
              <w:rPr>
                <w:sz w:val="16"/>
              </w:rPr>
              <w:t>SP-02</w:t>
            </w:r>
          </w:p>
        </w:tc>
        <w:tc>
          <w:tcPr>
            <w:tcW w:type="dxa" w:w="2556"/>
            <w:vAlign w:val="center"/>
          </w:tcPr>
          <w:p>
            <w:pPr>
              <w:spacing w:after="0"/>
            </w:pPr>
            <w:r>
              <w:rPr>
                <w:sz w:val="16"/>
              </w:rPr>
              <w:t>PTMT / Faucets</w:t>
            </w:r>
          </w:p>
        </w:tc>
        <w:tc>
          <w:tcPr>
            <w:tcW w:type="dxa" w:w="2556"/>
            <w:vAlign w:val="center"/>
          </w:tcPr>
          <w:p>
            <w:pPr>
              <w:spacing w:after="0"/>
            </w:pPr>
            <w:r>
              <w:rPr>
                <w:sz w:val="16"/>
              </w:rPr>
              <w:t>11356</w:t>
            </w:r>
          </w:p>
        </w:tc>
        <w:tc>
          <w:tcPr>
            <w:tcW w:type="dxa" w:w="2556"/>
            <w:vAlign w:val="center"/>
          </w:tcPr>
          <w:p>
            <w:pPr>
              <w:spacing w:after="0"/>
            </w:pPr>
            <w:r>
              <w:rPr>
                <w:sz w:val="16"/>
              </w:rPr>
              <w:t>17398</w:t>
            </w:r>
          </w:p>
        </w:tc>
      </w:tr>
    </w:tbl>
    <w:p>
      <w:pPr>
        <w:pStyle w:val="Heading1"/>
      </w:pPr>
      <w:r>
        <w:t>Why the proposed single application migration cannot unblock validation</w:t>
      </w:r>
    </w:p>
    <w:p>
      <w:pPr>
        <w:pStyle w:val="ListNumber"/>
      </w:pPr>
      <w:r>
        <w:t>Publish introspects the final development schema.</w:t>
      </w:r>
    </w:p>
    <w:p>
      <w:pPr>
        <w:pStyle w:val="ListNumber"/>
      </w:pPr>
      <w:r>
        <w:t>Publish generates and validates the schema diff on a production fork.</w:t>
      </w:r>
    </w:p>
    <w:p>
      <w:pPr>
        <w:pStyle w:val="ListNumber"/>
      </w:pPr>
      <w:r>
        <w:t>The fork still has the 35 duplicate pairs.</w:t>
      </w:r>
    </w:p>
    <w:p>
      <w:pPr>
        <w:pStyle w:val="ListNumber"/>
      </w:pPr>
      <w:r>
        <w:t>The generated CREATE UNIQUE INDEX fails.</w:t>
      </w:r>
    </w:p>
    <w:p>
      <w:pPr>
        <w:pStyle w:val="ListNumber"/>
      </w:pPr>
      <w:r>
        <w:t>The new deployment never starts, so application migration DML never executes.</w:t>
      </w:r>
    </w:p>
    <w:p>
      <w:r>
        <w:t>Thus, placing DELETE, DROP CONSTRAINT, and CREATE INDEX in one application migration does not change the ordering imposed by Publish validation.</w:t>
      </w:r>
    </w:p>
    <w:p>
      <w:pPr>
        <w:pStyle w:val="Heading1"/>
      </w:pPr>
      <w:r>
        <w:t>Generic transactional cleanup SQL</w:t>
      </w:r>
    </w:p>
    <w:p>
      <w:r>
        <w:t>The following is the generic cleanup logic. It is shown for review only and was not executed against production.</w:t>
      </w:r>
    </w:p>
    <w:p>
      <w:pPr>
        <w:ind w:left="360" w:right="216"/>
      </w:pPr>
      <w:r>
        <w:rPr>
          <w:rFonts w:ascii="Consolas" w:hAnsi="Consolas"/>
          <w:sz w:val="16"/>
        </w:rPr>
        <w:t>BEGIN;</w:t>
        <w:br/>
      </w:r>
      <w:r>
        <w:rPr>
          <w:rFonts w:ascii="Consolas" w:hAnsi="Consolas"/>
          <w:sz w:val="16"/>
        </w:rPr>
        <w:br/>
      </w:r>
      <w:r>
        <w:rPr>
          <w:rFonts w:ascii="Consolas" w:hAnsi="Consolas"/>
          <w:sz w:val="16"/>
        </w:rPr>
        <w:t>WITH assignment_keeper AS (</w:t>
        <w:br/>
      </w:r>
      <w:r>
        <w:rPr>
          <w:rFonts w:ascii="Consolas" w:hAnsi="Consolas"/>
          <w:sz w:val="16"/>
        </w:rPr>
        <w:t xml:space="preserve">  SELECT</w:t>
        <w:br/>
      </w:r>
      <w:r>
        <w:rPr>
          <w:rFonts w:ascii="Consolas" w:hAnsi="Consolas"/>
          <w:sz w:val="16"/>
        </w:rPr>
        <w:t xml:space="preserve">    id,</w:t>
        <w:br/>
      </w:r>
      <w:r>
        <w:rPr>
          <w:rFonts w:ascii="Consolas" w:hAnsi="Consolas"/>
          <w:sz w:val="16"/>
        </w:rPr>
        <w:t xml:space="preserve">    MIN(id) OVER (</w:t>
        <w:br/>
      </w:r>
      <w:r>
        <w:rPr>
          <w:rFonts w:ascii="Consolas" w:hAnsi="Consolas"/>
          <w:sz w:val="16"/>
        </w:rPr>
        <w:t xml:space="preserve">      PARTITION BY item_code, canonical_category, effective_from</w:t>
        <w:br/>
      </w:r>
      <w:r>
        <w:rPr>
          <w:rFonts w:ascii="Consolas" w:hAnsi="Consolas"/>
          <w:sz w:val="16"/>
        </w:rPr>
        <w:t xml:space="preserve">    ) AS keeper_id</w:t>
        <w:br/>
      </w:r>
      <w:r>
        <w:rPr>
          <w:rFonts w:ascii="Consolas" w:hAnsi="Consolas"/>
          <w:sz w:val="16"/>
        </w:rPr>
        <w:t xml:space="preserve">  FROM canonical_item_category_registry</w:t>
        <w:br/>
      </w:r>
      <w:r>
        <w:rPr>
          <w:rFonts w:ascii="Consolas" w:hAnsi="Consolas"/>
          <w:sz w:val="16"/>
        </w:rPr>
        <w:t>)</w:t>
        <w:br/>
      </w:r>
      <w:r>
        <w:rPr>
          <w:rFonts w:ascii="Consolas" w:hAnsi="Consolas"/>
          <w:sz w:val="16"/>
        </w:rPr>
        <w:t>UPDATE canonical_item_category_source AS source</w:t>
        <w:br/>
      </w:r>
      <w:r>
        <w:rPr>
          <w:rFonts w:ascii="Consolas" w:hAnsi="Consolas"/>
          <w:sz w:val="16"/>
        </w:rPr>
        <w:t>SET registry_id = assignment_keeper.keeper_id</w:t>
        <w:br/>
      </w:r>
      <w:r>
        <w:rPr>
          <w:rFonts w:ascii="Consolas" w:hAnsi="Consolas"/>
          <w:sz w:val="16"/>
        </w:rPr>
        <w:t>FROM assignment_keeper</w:t>
        <w:br/>
      </w:r>
      <w:r>
        <w:rPr>
          <w:rFonts w:ascii="Consolas" w:hAnsi="Consolas"/>
          <w:sz w:val="16"/>
        </w:rPr>
        <w:t>WHERE source.registry_id = assignment_keeper.id</w:t>
        <w:br/>
      </w:r>
      <w:r>
        <w:rPr>
          <w:rFonts w:ascii="Consolas" w:hAnsi="Consolas"/>
          <w:sz w:val="16"/>
        </w:rPr>
        <w:t xml:space="preserve">  AND assignment_keeper.id &lt;&gt; assignment_keeper.keeper_id;</w:t>
        <w:br/>
      </w:r>
      <w:r>
        <w:rPr>
          <w:rFonts w:ascii="Consolas" w:hAnsi="Consolas"/>
          <w:sz w:val="16"/>
        </w:rPr>
        <w:br/>
      </w:r>
      <w:r>
        <w:rPr>
          <w:rFonts w:ascii="Consolas" w:hAnsi="Consolas"/>
          <w:sz w:val="16"/>
        </w:rPr>
        <w:t>WITH ranked_assignments AS (</w:t>
        <w:br/>
      </w:r>
      <w:r>
        <w:rPr>
          <w:rFonts w:ascii="Consolas" w:hAnsi="Consolas"/>
          <w:sz w:val="16"/>
        </w:rPr>
        <w:t xml:space="preserve">  SELECT</w:t>
        <w:br/>
      </w:r>
      <w:r>
        <w:rPr>
          <w:rFonts w:ascii="Consolas" w:hAnsi="Consolas"/>
          <w:sz w:val="16"/>
        </w:rPr>
        <w:t xml:space="preserve">    id,</w:t>
        <w:br/>
      </w:r>
      <w:r>
        <w:rPr>
          <w:rFonts w:ascii="Consolas" w:hAnsi="Consolas"/>
          <w:sz w:val="16"/>
        </w:rPr>
        <w:t xml:space="preserve">    ROW_NUMBER() OVER (</w:t>
        <w:br/>
      </w:r>
      <w:r>
        <w:rPr>
          <w:rFonts w:ascii="Consolas" w:hAnsi="Consolas"/>
          <w:sz w:val="16"/>
        </w:rPr>
        <w:t xml:space="preserve">      PARTITION BY item_code, canonical_category, effective_from</w:t>
        <w:br/>
      </w:r>
      <w:r>
        <w:rPr>
          <w:rFonts w:ascii="Consolas" w:hAnsi="Consolas"/>
          <w:sz w:val="16"/>
        </w:rPr>
        <w:t xml:space="preserve">      ORDER BY id</w:t>
        <w:br/>
      </w:r>
      <w:r>
        <w:rPr>
          <w:rFonts w:ascii="Consolas" w:hAnsi="Consolas"/>
          <w:sz w:val="16"/>
        </w:rPr>
        <w:t xml:space="preserve">    ) AS duplicate_rank</w:t>
        <w:br/>
      </w:r>
      <w:r>
        <w:rPr>
          <w:rFonts w:ascii="Consolas" w:hAnsi="Consolas"/>
          <w:sz w:val="16"/>
        </w:rPr>
        <w:t xml:space="preserve">  FROM canonical_item_category_registry</w:t>
        <w:br/>
      </w:r>
      <w:r>
        <w:rPr>
          <w:rFonts w:ascii="Consolas" w:hAnsi="Consolas"/>
          <w:sz w:val="16"/>
        </w:rPr>
        <w:t>)</w:t>
        <w:br/>
      </w:r>
      <w:r>
        <w:rPr>
          <w:rFonts w:ascii="Consolas" w:hAnsi="Consolas"/>
          <w:sz w:val="16"/>
        </w:rPr>
        <w:t>DELETE FROM canonical_item_category_registry AS registry</w:t>
        <w:br/>
      </w:r>
      <w:r>
        <w:rPr>
          <w:rFonts w:ascii="Consolas" w:hAnsi="Consolas"/>
          <w:sz w:val="16"/>
        </w:rPr>
        <w:t>USING ranked_assignments</w:t>
        <w:br/>
      </w:r>
      <w:r>
        <w:rPr>
          <w:rFonts w:ascii="Consolas" w:hAnsi="Consolas"/>
          <w:sz w:val="16"/>
        </w:rPr>
        <w:t>WHERE registry.id = ranked_assignments.id</w:t>
        <w:br/>
      </w:r>
      <w:r>
        <w:rPr>
          <w:rFonts w:ascii="Consolas" w:hAnsi="Consolas"/>
          <w:sz w:val="16"/>
        </w:rPr>
        <w:t xml:space="preserve">  AND ranked_assignments.duplicate_rank &gt; 1;</w:t>
        <w:br/>
      </w:r>
      <w:r>
        <w:rPr>
          <w:rFonts w:ascii="Consolas" w:hAnsi="Consolas"/>
          <w:sz w:val="16"/>
        </w:rPr>
        <w:br/>
      </w:r>
      <w:r>
        <w:rPr>
          <w:rFonts w:ascii="Consolas" w:hAnsi="Consolas"/>
          <w:sz w:val="16"/>
        </w:rPr>
        <w:t>COMMIT;</w:t>
        <w:br/>
      </w:r>
    </w:p>
    <w:p>
      <w:pPr>
        <w:pStyle w:val="Heading1"/>
      </w:pPr>
      <w:r>
        <w:t>Recommended supported path</w:t>
      </w:r>
    </w:p>
    <w:p>
      <w:r>
        <w:t>The target data must be cleaned through an explicitly approved production-data operation before retrying the current Publish. Once the 35 duplicate rows are removed, the generated Publish diff can create both partial unique indexes without weakening the registry or requiring an unprotected intermediate Publish.</w:t>
      </w:r>
    </w:p>
    <w:p>
      <w:r>
        <w:t>The Agent did not execute production DML or DDL, did not add deployment-time DDL, and did not bypass the Publish flow.</w:t>
      </w:r>
    </w:p>
    <w:p>
      <w:pPr>
        <w:pStyle w:val="Heading1"/>
      </w:pPr>
      <w:r>
        <w:t>Post-fix acceptance checks</w:t>
      </w:r>
    </w:p>
    <w:p>
      <w:pPr>
        <w:pStyle w:val="ListBullet"/>
      </w:pPr>
      <w:r>
        <w:t>Production duplicate groups = 0.</w:t>
      </w:r>
    </w:p>
    <w:p>
      <w:pPr>
        <w:pStyle w:val="ListBullet"/>
      </w:pPr>
      <w:r>
        <w:t>Physical and logical registry assignment count = 9,699.</w:t>
      </w:r>
    </w:p>
    <w:p>
      <w:pPr>
        <w:pStyle w:val="ListBullet"/>
      </w:pPr>
      <w:r>
        <w:t>Both partial unique indexes exist with their exact WHERE predicates.</w:t>
      </w:r>
    </w:p>
    <w:p>
      <w:pPr>
        <w:pStyle w:val="ListBullet"/>
      </w:pPr>
      <w:r>
        <w:t>The weakened ordinary table constraint is absent.</w:t>
      </w:r>
    </w:p>
    <w:p>
      <w:pPr>
        <w:pStyle w:val="ListBullet"/>
      </w:pPr>
      <w:r>
        <w:t>A fresh Publish preserves both index definitions.</w:t>
      </w:r>
    </w:p>
    <w:p>
      <w:pPr>
        <w:pStyle w:val="ListBullet"/>
      </w:pPr>
      <w:r>
        <w:t>A duplicate open assignment is rejected by the database invariant.</w:t>
      </w:r>
    </w:p>
    <w:p>
      <w:r>
        <w:t>Prepared from direct development and read-only production catalog/data checks following the failed disposable-fork validation.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