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Warning System - design and build prompts</w:t>
      </w:r>
    </w:p>
    <w:p>
      <w:pPr>
        <w:spacing w:after="150"/>
      </w:pPr>
      <w:r>
        <w:rPr>
          <w:i/>
          <w:iCs/>
          <w:color w:val="555555"/>
        </w:rPr>
        <w:t xml:space="preserve">A new page with two tabs. Thirty-two warnings across nine families, with severity, suppression logic and a suggested action for each. Calibrated against Anant Singh's eleven mapped members.</w:t>
      </w:r>
    </w:p>
    <w:p>
      <w:pPr>
        <w:pStyle w:val="Heading1"/>
        <w:spacing w:after="100" w:before="240"/>
      </w:pPr>
      <w:r>
        <w:rPr>
          <w:b/>
          <w:bCs/>
        </w:rPr>
        <w:t xml:space="preserve">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EEF5F5" w:color="auto" w:val="clear"/>
            <w:tcMar>
              <w:top w:type="dxa" w:w="46"/>
              <w:left w:type="dxa" w:w="74"/>
              <w:bottom w:type="dxa" w:w="46"/>
              <w:right w:type="dxa" w:w="74"/>
            </w:tcMar>
          </w:tcPr>
          <w:p>
            <w:r>
              <w:rPr>
                <w:b/>
                <w:bCs/>
                <w:sz w:val="15"/>
                <w:szCs w:val="15"/>
              </w:rPr>
              <w:t xml:space="preserve">Tab</w:t>
            </w:r>
          </w:p>
        </w:tc>
        <w:tc>
          <w:tcPr>
            <w:tcW w:type="pct" w:w="38%"/>
            <w:shd w:fill="EEF5F5" w:color="auto" w:val="clear"/>
            <w:tcMar>
              <w:top w:type="dxa" w:w="46"/>
              <w:left w:type="dxa" w:w="74"/>
              <w:bottom w:type="dxa" w:w="46"/>
              <w:right w:type="dxa" w:w="74"/>
            </w:tcMar>
          </w:tcPr>
          <w:p>
            <w:r>
              <w:rPr>
                <w:b/>
                <w:bCs/>
                <w:sz w:val="15"/>
                <w:szCs w:val="15"/>
              </w:rPr>
              <w:t xml:space="preserve">Hierarchy</w:t>
            </w:r>
          </w:p>
        </w:tc>
        <w:tc>
          <w:tcPr>
            <w:tcW w:type="pct" w:w="44%"/>
            <w:shd w:fill="EEF5F5" w:color="auto" w:val="clear"/>
            <w:tcMar>
              <w:top w:type="dxa" w:w="46"/>
              <w:left w:type="dxa" w:w="74"/>
              <w:bottom w:type="dxa" w:w="46"/>
              <w:right w:type="dxa" w:w="74"/>
            </w:tcMar>
          </w:tcPr>
          <w:p>
            <w:r>
              <w:rPr>
                <w:b/>
                <w:bCs/>
                <w:sz w:val="15"/>
                <w:szCs w:val="15"/>
              </w:rPr>
              <w:t xml:space="preserve">Answers</w:t>
            </w:r>
          </w:p>
        </w:tc>
      </w:tr>
      <w:tr>
        <w:trPr>
          <w:tblHeader w:val="false"/>
        </w:trPr>
        <w:tc>
          <w:tcPr>
            <w:tcW w:type="pct" w:w="18%"/>
            <w:tcMar>
              <w:top w:type="dxa" w:w="46"/>
              <w:left w:type="dxa" w:w="74"/>
              <w:bottom w:type="dxa" w:w="46"/>
              <w:right w:type="dxa" w:w="74"/>
            </w:tcMar>
          </w:tcPr>
          <w:p>
            <w:r>
              <w:rPr>
                <w:b w:val="false"/>
                <w:bCs w:val="false"/>
                <w:sz w:val="15"/>
                <w:szCs w:val="15"/>
              </w:rPr>
              <w:t xml:space="preserve">State Heads</w:t>
            </w:r>
          </w:p>
        </w:tc>
        <w:tc>
          <w:tcPr>
            <w:tcW w:type="pct" w:w="38%"/>
            <w:tcMar>
              <w:top w:type="dxa" w:w="46"/>
              <w:left w:type="dxa" w:w="74"/>
              <w:bottom w:type="dxa" w:w="46"/>
              <w:right w:type="dxa" w:w="74"/>
            </w:tcMar>
          </w:tcPr>
          <w:p>
            <w:r>
              <w:rPr>
                <w:b w:val="false"/>
                <w:bCs w:val="false"/>
                <w:sz w:val="15"/>
                <w:szCs w:val="15"/>
              </w:rPr>
              <w:t xml:space="preserve">State Head -&gt; Salesperson -&gt; Retailer</w:t>
            </w:r>
          </w:p>
        </w:tc>
        <w:tc>
          <w:tcPr>
            <w:tcW w:type="pct" w:w="44%"/>
            <w:tcMar>
              <w:top w:type="dxa" w:w="46"/>
              <w:left w:type="dxa" w:w="74"/>
              <w:bottom w:type="dxa" w:w="46"/>
              <w:right w:type="dxa" w:w="74"/>
            </w:tcMar>
          </w:tcPr>
          <w:p>
            <w:r>
              <w:rPr>
                <w:b w:val="false"/>
                <w:bCs w:val="false"/>
                <w:sz w:val="15"/>
                <w:szCs w:val="15"/>
              </w:rPr>
              <w:t xml:space="preserve">Who is behind, and why</w:t>
            </w:r>
          </w:p>
        </w:tc>
      </w:tr>
      <w:tr>
        <w:trPr>
          <w:tblHeader w:val="false"/>
        </w:trPr>
        <w:tc>
          <w:tcPr>
            <w:tcW w:type="pct" w:w="18%"/>
            <w:tcMar>
              <w:top w:type="dxa" w:w="46"/>
              <w:left w:type="dxa" w:w="74"/>
              <w:bottom w:type="dxa" w:w="46"/>
              <w:right w:type="dxa" w:w="74"/>
            </w:tcMar>
          </w:tcPr>
          <w:p>
            <w:r>
              <w:rPr>
                <w:b w:val="false"/>
                <w:bCs w:val="false"/>
                <w:sz w:val="15"/>
                <w:szCs w:val="15"/>
              </w:rPr>
              <w:t xml:space="preserve">Distributors</w:t>
            </w:r>
          </w:p>
        </w:tc>
        <w:tc>
          <w:tcPr>
            <w:tcW w:type="pct" w:w="38%"/>
            <w:tcMar>
              <w:top w:type="dxa" w:w="46"/>
              <w:left w:type="dxa" w:w="74"/>
              <w:bottom w:type="dxa" w:w="46"/>
              <w:right w:type="dxa" w:w="74"/>
            </w:tcMar>
          </w:tcPr>
          <w:p>
            <w:r>
              <w:rPr>
                <w:b w:val="false"/>
                <w:bCs w:val="false"/>
                <w:sz w:val="15"/>
                <w:szCs w:val="15"/>
              </w:rPr>
              <w:t xml:space="preserve">Distributor -&gt; Retailer</w:t>
            </w:r>
          </w:p>
        </w:tc>
        <w:tc>
          <w:tcPr>
            <w:tcW w:type="pct" w:w="44%"/>
            <w:tcMar>
              <w:top w:type="dxa" w:w="46"/>
              <w:left w:type="dxa" w:w="74"/>
              <w:bottom w:type="dxa" w:w="46"/>
              <w:right w:type="dxa" w:w="74"/>
            </w:tcMar>
          </w:tcPr>
          <w:p>
            <w:r>
              <w:rPr>
                <w:b w:val="false"/>
                <w:bCs w:val="false"/>
                <w:sz w:val="15"/>
                <w:szCs w:val="15"/>
              </w:rPr>
              <w:t xml:space="preserve">Which channel partners are at risk</w:t>
            </w:r>
          </w:p>
        </w:tc>
      </w:tr>
    </w:tbl>
    <w:p>
      <w:pPr>
        <w:pBdr>
          <w:top w:val="single" w:color="E0B4A8" w:sz="6" w:space="6"/>
          <w:bottom w:val="single" w:color="E0B4A8" w:sz="6" w:space="6"/>
          <w:left w:val="single" w:color="E0B4A8" w:sz="6" w:space="6"/>
          <w:right w:val="single" w:color="E0B4A8" w:sz="6" w:space="6"/>
        </w:pBdr>
        <w:shd w:fill="FBE9E7" w:color="auto" w:val="clear"/>
        <w:spacing w:after="120"/>
      </w:pPr>
      <w:r>
        <w:t xml:space="preserve">A DEFINITIONAL QUESTION BEFORE BUILDING TAB 2. The brief says 'Distributors to dealers to retailers'. In the source data those are TWO levels, not three: each retailer carries an Assigned Distributor, and column K of the secondary report is headed 'Total Dealer' while counting RETAIL OUTLETS. Prasun's column K reads 73 against his 73 retailers. So 'dealer' and 'retailer' are two words for one level, and DIRECT DEALERS are a parallel branch that buys straight from Prayag. Either confirm a genuine sub-dealer layer exists and identify where it is recorded, or build two levels. Do not invent a third.</w:t>
      </w:r>
    </w:p>
    <w:p>
      <w:pPr>
        <w:pStyle w:val="Heading1"/>
        <w:spacing w:after="100" w:before="240"/>
      </w:pPr>
      <w:r>
        <w:rPr>
          <w:b/>
          <w:bCs/>
        </w:rPr>
        <w:t xml:space="preserve">The severity model</w:t>
      </w:r>
    </w:p>
    <w:p>
      <w:pPr>
        <w:spacing w:after="100"/>
      </w:pPr>
      <w:r>
        <w:t xml:space="preserve">Three colours, and the hard part is not the colours - it is not firing so many that nobody looks. Tested against the eleven mapped members, a naive threshold set fires four or five reds on the two weakest members and turns the page into noise.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4%"/>
            <w:shd w:fill="EEF5F5" w:color="auto" w:val="clear"/>
            <w:tcMar>
              <w:top w:type="dxa" w:w="46"/>
              <w:left w:type="dxa" w:w="74"/>
              <w:bottom w:type="dxa" w:w="46"/>
              <w:right w:type="dxa" w:w="74"/>
            </w:tcMar>
          </w:tcPr>
          <w:p>
            <w:r>
              <w:rPr>
                <w:b/>
                <w:bCs/>
                <w:sz w:val="15"/>
                <w:szCs w:val="15"/>
              </w:rPr>
              <w:t xml:space="preserve">Level</w:t>
            </w:r>
          </w:p>
        </w:tc>
        <w:tc>
          <w:tcPr>
            <w:tcW w:type="pct" w:w="50%"/>
            <w:shd w:fill="EEF5F5" w:color="auto" w:val="clear"/>
            <w:tcMar>
              <w:top w:type="dxa" w:w="46"/>
              <w:left w:type="dxa" w:w="74"/>
              <w:bottom w:type="dxa" w:w="46"/>
              <w:right w:type="dxa" w:w="74"/>
            </w:tcMar>
          </w:tcPr>
          <w:p>
            <w:r>
              <w:rPr>
                <w:b/>
                <w:bCs/>
                <w:sz w:val="15"/>
                <w:szCs w:val="15"/>
              </w:rPr>
              <w:t xml:space="preserve">Meaning</w:t>
            </w:r>
          </w:p>
        </w:tc>
        <w:tc>
          <w:tcPr>
            <w:tcW w:type="pct" w:w="36%"/>
            <w:shd w:fill="EEF5F5" w:color="auto" w:val="clear"/>
            <w:tcMar>
              <w:top w:type="dxa" w:w="46"/>
              <w:left w:type="dxa" w:w="74"/>
              <w:bottom w:type="dxa" w:w="46"/>
              <w:right w:type="dxa" w:w="74"/>
            </w:tcMar>
          </w:tcPr>
          <w:p>
            <w:r>
              <w:rPr>
                <w:b/>
                <w:bCs/>
                <w:sz w:val="15"/>
                <w:szCs w:val="15"/>
              </w:rPr>
              <w:t xml:space="preserve">Expected response</w:t>
            </w:r>
          </w:p>
        </w:tc>
      </w:tr>
      <w:tr>
        <w:trPr>
          <w:tblHeader w:val="false"/>
        </w:trPr>
        <w:tc>
          <w:tcPr>
            <w:tcW w:type="pct" w:w="14%"/>
            <w:tcMar>
              <w:top w:type="dxa" w:w="46"/>
              <w:left w:type="dxa" w:w="74"/>
              <w:bottom w:type="dxa" w:w="46"/>
              <w:right w:type="dxa" w:w="74"/>
            </w:tcMar>
          </w:tcPr>
          <w:p>
            <w:r>
              <w:rPr>
                <w:b w:val="false"/>
                <w:bCs w:val="false"/>
                <w:sz w:val="15"/>
                <w:szCs w:val="15"/>
              </w:rPr>
              <w:t xml:space="preserve">YELLOW</w:t>
            </w:r>
          </w:p>
        </w:tc>
        <w:tc>
          <w:tcPr>
            <w:tcW w:type="pct" w:w="50%"/>
            <w:tcMar>
              <w:top w:type="dxa" w:w="46"/>
              <w:left w:type="dxa" w:w="74"/>
              <w:bottom w:type="dxa" w:w="46"/>
              <w:right w:type="dxa" w:w="74"/>
            </w:tcMar>
          </w:tcPr>
          <w:p>
            <w:r>
              <w:rPr>
                <w:b w:val="false"/>
                <w:bCs w:val="false"/>
                <w:sz w:val="15"/>
                <w:szCs w:val="15"/>
              </w:rPr>
              <w:t xml:space="preserve">Drifting. Worth knowing at the next review.</w:t>
            </w:r>
          </w:p>
        </w:tc>
        <w:tc>
          <w:tcPr>
            <w:tcW w:type="pct" w:w="36%"/>
            <w:tcMar>
              <w:top w:type="dxa" w:w="46"/>
              <w:left w:type="dxa" w:w="74"/>
              <w:bottom w:type="dxa" w:w="46"/>
              <w:right w:type="dxa" w:w="74"/>
            </w:tcMar>
          </w:tcPr>
          <w:p>
            <w:r>
              <w:rPr>
                <w:b w:val="false"/>
                <w:bCs w:val="false"/>
                <w:sz w:val="15"/>
                <w:szCs w:val="15"/>
              </w:rPr>
              <w:t xml:space="preserve">Watch</w:t>
            </w:r>
          </w:p>
        </w:tc>
      </w:tr>
      <w:tr>
        <w:trPr>
          <w:tblHeader w:val="false"/>
        </w:trPr>
        <w:tc>
          <w:tcPr>
            <w:tcW w:type="pct" w:w="14%"/>
            <w:tcMar>
              <w:top w:type="dxa" w:w="46"/>
              <w:left w:type="dxa" w:w="74"/>
              <w:bottom w:type="dxa" w:w="46"/>
              <w:right w:type="dxa" w:w="74"/>
            </w:tcMar>
          </w:tcPr>
          <w:p>
            <w:r>
              <w:rPr>
                <w:b w:val="false"/>
                <w:bCs w:val="false"/>
                <w:sz w:val="15"/>
                <w:szCs w:val="15"/>
              </w:rPr>
              <w:t xml:space="preserve">ORANGE</w:t>
            </w:r>
          </w:p>
        </w:tc>
        <w:tc>
          <w:tcPr>
            <w:tcW w:type="pct" w:w="50%"/>
            <w:tcMar>
              <w:top w:type="dxa" w:w="46"/>
              <w:left w:type="dxa" w:w="74"/>
              <w:bottom w:type="dxa" w:w="46"/>
              <w:right w:type="dxa" w:w="74"/>
            </w:tcMar>
          </w:tcPr>
          <w:p>
            <w:r>
              <w:rPr>
                <w:b w:val="false"/>
                <w:bCs w:val="false"/>
                <w:sz w:val="15"/>
                <w:szCs w:val="15"/>
              </w:rPr>
              <w:t xml:space="preserve">Materially off. Needs a decision this month.</w:t>
            </w:r>
          </w:p>
        </w:tc>
        <w:tc>
          <w:tcPr>
            <w:tcW w:type="pct" w:w="36%"/>
            <w:tcMar>
              <w:top w:type="dxa" w:w="46"/>
              <w:left w:type="dxa" w:w="74"/>
              <w:bottom w:type="dxa" w:w="46"/>
              <w:right w:type="dxa" w:w="74"/>
            </w:tcMar>
          </w:tcPr>
          <w:p>
            <w:r>
              <w:rPr>
                <w:b w:val="false"/>
                <w:bCs w:val="false"/>
                <w:sz w:val="15"/>
                <w:szCs w:val="15"/>
              </w:rPr>
              <w:t xml:space="preserve">Act</w:t>
            </w:r>
          </w:p>
        </w:tc>
      </w:tr>
      <w:tr>
        <w:trPr>
          <w:tblHeader w:val="false"/>
        </w:trPr>
        <w:tc>
          <w:tcPr>
            <w:tcW w:type="pct" w:w="14%"/>
            <w:tcMar>
              <w:top w:type="dxa" w:w="46"/>
              <w:left w:type="dxa" w:w="74"/>
              <w:bottom w:type="dxa" w:w="46"/>
              <w:right w:type="dxa" w:w="74"/>
            </w:tcMar>
          </w:tcPr>
          <w:p>
            <w:r>
              <w:rPr>
                <w:b w:val="false"/>
                <w:bCs w:val="false"/>
                <w:sz w:val="15"/>
                <w:szCs w:val="15"/>
              </w:rPr>
              <w:t xml:space="preserve">RED</w:t>
            </w:r>
          </w:p>
        </w:tc>
        <w:tc>
          <w:tcPr>
            <w:tcW w:type="pct" w:w="50%"/>
            <w:tcMar>
              <w:top w:type="dxa" w:w="46"/>
              <w:left w:type="dxa" w:w="74"/>
              <w:bottom w:type="dxa" w:w="46"/>
              <w:right w:type="dxa" w:w="74"/>
            </w:tcMar>
          </w:tcPr>
          <w:p>
            <w:r>
              <w:rPr>
                <w:b w:val="false"/>
                <w:bCs w:val="false"/>
                <w:sz w:val="15"/>
                <w:szCs w:val="15"/>
              </w:rPr>
              <w:t xml:space="preserve">Failing, or a structural blocker. Needs action now.</w:t>
            </w:r>
          </w:p>
        </w:tc>
        <w:tc>
          <w:tcPr>
            <w:tcW w:type="pct" w:w="36%"/>
            <w:tcMar>
              <w:top w:type="dxa" w:w="46"/>
              <w:left w:type="dxa" w:w="74"/>
              <w:bottom w:type="dxa" w:w="46"/>
              <w:right w:type="dxa" w:w="74"/>
            </w:tcMar>
          </w:tcPr>
          <w:p>
            <w:r>
              <w:rPr>
                <w:b w:val="false"/>
                <w:bCs w:val="false"/>
                <w:sz w:val="15"/>
                <w:szCs w:val="15"/>
              </w:rPr>
              <w:t xml:space="preserve">Escalate</w:t>
            </w:r>
          </w:p>
        </w:tc>
      </w:tr>
    </w:tbl>
    <w:p>
      <w:pPr>
        <w:pStyle w:val="Heading2"/>
        <w:spacing w:after="65" w:before="180"/>
      </w:pPr>
      <w:r>
        <w:rPr>
          <w:b/>
          <w:bCs/>
        </w:rPr>
        <w:t xml:space="preserve">Severity combines LEVEL with TREND</w:t>
      </w:r>
    </w:p>
    <w:p>
      <w:pPr>
        <w:spacing w:after="100"/>
      </w:pPr>
      <w:r>
        <w:t xml:space="preserve">A member at 60 per cent and rising is not the same as one at 60 per cent and falling. Compute both, and let trend move severity one step in either direction. A worsening yellow becomes orange; an improving orange becomes yellow. State the direction on the card so the reader sees why.</w:t>
      </w:r>
    </w:p>
    <w:p>
      <w:pPr>
        <w:pStyle w:val="Heading2"/>
        <w:spacing w:after="65" w:before="180"/>
      </w:pPr>
      <w:r>
        <w:rPr>
          <w:b/>
          <w:bCs/>
        </w:rPr>
        <w:t xml:space="preserve">One root cause, not five symptoms</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SUPPRESSION IS WHAT MAKES THIS USABLE. Rahul Singh fires red on unassigned retailers, concentration, effective retailers and visited-no-order. All four are DOWNSTREAM of one fact: 59 of his 64 retailers have no assigned distributor. Show that one warning and collapse the rest beneath it. A page showing four reds on a man with eleven working days will be ignored within a week.</w:t>
      </w:r>
    </w:p>
    <w:p>
      <w:pPr>
        <w:spacing w:after="100"/>
      </w:pPr>
      <w:r>
        <w:t xml:space="preserve">Every warning declares which warnings it suppresses when it fires. The page shows the root cause with the suppressed count beside it, expandable.</w:t>
      </w:r>
    </w:p>
    <w:p>
      <w:pPr>
        <w:pStyle w:val="Heading1"/>
        <w:spacing w:after="100" w:before="240"/>
      </w:pPr>
      <w:r>
        <w:rPr>
          <w:b/>
          <w:bCs/>
        </w:rPr>
        <w:t xml:space="preserve">Calibration against real members</w:t>
      </w:r>
    </w:p>
    <w:p>
      <w:pPr>
        <w:spacing w:after="100"/>
      </w:pPr>
      <w:r>
        <w:t xml:space="preserve">Thresholds below were tested on Anant Singh's eleven mapped members. The distribution that results - 17 red, 13 orange, 15 yellow, 8 green across five headline warnings - gives a usable spread: the strongest member fires nothing, the weakest fires four.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4%"/>
            <w:shd w:fill="EEF5F5" w:color="auto" w:val="clear"/>
            <w:tcMar>
              <w:top w:type="dxa" w:w="46"/>
              <w:left w:type="dxa" w:w="74"/>
              <w:bottom w:type="dxa" w:w="46"/>
              <w:right w:type="dxa" w:w="74"/>
            </w:tcMar>
          </w:tcPr>
          <w:p>
            <w:r>
              <w:rPr>
                <w:b/>
                <w:bCs/>
                <w:sz w:val="15"/>
                <w:szCs w:val="15"/>
              </w:rPr>
              <w:t xml:space="preserve">Warning</w:t>
            </w:r>
          </w:p>
        </w:tc>
        <w:tc>
          <w:tcPr>
            <w:tcW w:type="pct" w:w="14%"/>
            <w:shd w:fill="EEF5F5" w:color="auto" w:val="clear"/>
            <w:tcMar>
              <w:top w:type="dxa" w:w="46"/>
              <w:left w:type="dxa" w:w="74"/>
              <w:bottom w:type="dxa" w:w="46"/>
              <w:right w:type="dxa" w:w="74"/>
            </w:tcMar>
          </w:tcPr>
          <w:p>
            <w:r>
              <w:rPr>
                <w:b/>
                <w:bCs/>
                <w:sz w:val="15"/>
                <w:szCs w:val="15"/>
              </w:rPr>
              <w:t xml:space="preserve">RED</w:t>
            </w:r>
          </w:p>
        </w:tc>
        <w:tc>
          <w:tcPr>
            <w:tcW w:type="pct" w:w="16%"/>
            <w:shd w:fill="EEF5F5" w:color="auto" w:val="clear"/>
            <w:tcMar>
              <w:top w:type="dxa" w:w="46"/>
              <w:left w:type="dxa" w:w="74"/>
              <w:bottom w:type="dxa" w:w="46"/>
              <w:right w:type="dxa" w:w="74"/>
            </w:tcMar>
          </w:tcPr>
          <w:p>
            <w:r>
              <w:rPr>
                <w:b/>
                <w:bCs/>
                <w:sz w:val="15"/>
                <w:szCs w:val="15"/>
              </w:rPr>
              <w:t xml:space="preserve">ORANGE</w:t>
            </w:r>
          </w:p>
        </w:tc>
        <w:tc>
          <w:tcPr>
            <w:tcW w:type="pct" w:w="16%"/>
            <w:shd w:fill="EEF5F5" w:color="auto" w:val="clear"/>
            <w:tcMar>
              <w:top w:type="dxa" w:w="46"/>
              <w:left w:type="dxa" w:w="74"/>
              <w:bottom w:type="dxa" w:w="46"/>
              <w:right w:type="dxa" w:w="74"/>
            </w:tcMar>
          </w:tcPr>
          <w:p>
            <w:r>
              <w:rPr>
                <w:b/>
                <w:bCs/>
                <w:sz w:val="15"/>
                <w:szCs w:val="15"/>
              </w:rPr>
              <w:t xml:space="preserve">YELLOW</w:t>
            </w:r>
          </w:p>
        </w:tc>
        <w:tc>
          <w:tcPr>
            <w:tcW w:type="pct" w:w="20%"/>
            <w:shd w:fill="EEF5F5" w:color="auto" w:val="clear"/>
            <w:tcMar>
              <w:top w:type="dxa" w:w="46"/>
              <w:left w:type="dxa" w:w="74"/>
              <w:bottom w:type="dxa" w:w="46"/>
              <w:right w:type="dxa" w:w="74"/>
            </w:tcMar>
          </w:tcPr>
          <w:p>
            <w:r>
              <w:rPr>
                <w:b/>
                <w:bCs/>
                <w:sz w:val="15"/>
                <w:szCs w:val="15"/>
              </w:rPr>
              <w:t xml:space="preserve">Fires on (of 11)</w:t>
            </w:r>
          </w:p>
        </w:tc>
      </w:tr>
      <w:tr>
        <w:trPr>
          <w:tblHeader w:val="false"/>
        </w:trPr>
        <w:tc>
          <w:tcPr>
            <w:tcW w:type="pct" w:w="34%"/>
            <w:tcMar>
              <w:top w:type="dxa" w:w="46"/>
              <w:left w:type="dxa" w:w="74"/>
              <w:bottom w:type="dxa" w:w="46"/>
              <w:right w:type="dxa" w:w="74"/>
            </w:tcMar>
          </w:tcPr>
          <w:p>
            <w:r>
              <w:rPr>
                <w:b w:val="false"/>
                <w:bCs w:val="false"/>
                <w:sz w:val="15"/>
                <w:szCs w:val="15"/>
              </w:rPr>
              <w:t xml:space="preserve">Achievement vs to-date target</w:t>
            </w:r>
          </w:p>
        </w:tc>
        <w:tc>
          <w:tcPr>
            <w:tcW w:type="pct" w:w="14%"/>
            <w:tcMar>
              <w:top w:type="dxa" w:w="46"/>
              <w:left w:type="dxa" w:w="74"/>
              <w:bottom w:type="dxa" w:w="46"/>
              <w:right w:type="dxa" w:w="74"/>
            </w:tcMar>
          </w:tcPr>
          <w:p>
            <w:r>
              <w:rPr>
                <w:b w:val="false"/>
                <w:bCs w:val="false"/>
                <w:sz w:val="15"/>
                <w:szCs w:val="15"/>
              </w:rPr>
              <w:t xml:space="preserve">&lt; 50%</w:t>
            </w:r>
          </w:p>
        </w:tc>
        <w:tc>
          <w:tcPr>
            <w:tcW w:type="pct" w:w="16%"/>
            <w:tcMar>
              <w:top w:type="dxa" w:w="46"/>
              <w:left w:type="dxa" w:w="74"/>
              <w:bottom w:type="dxa" w:w="46"/>
              <w:right w:type="dxa" w:w="74"/>
            </w:tcMar>
          </w:tcPr>
          <w:p>
            <w:r>
              <w:rPr>
                <w:b w:val="false"/>
                <w:bCs w:val="false"/>
                <w:sz w:val="15"/>
                <w:szCs w:val="15"/>
              </w:rPr>
              <w:t xml:space="preserve">50-70%</w:t>
            </w:r>
          </w:p>
        </w:tc>
        <w:tc>
          <w:tcPr>
            <w:tcW w:type="pct" w:w="16%"/>
            <w:tcMar>
              <w:top w:type="dxa" w:w="46"/>
              <w:left w:type="dxa" w:w="74"/>
              <w:bottom w:type="dxa" w:w="46"/>
              <w:right w:type="dxa" w:w="74"/>
            </w:tcMar>
          </w:tcPr>
          <w:p>
            <w:r>
              <w:rPr>
                <w:b w:val="false"/>
                <w:bCs w:val="false"/>
                <w:sz w:val="15"/>
                <w:szCs w:val="15"/>
              </w:rPr>
              <w:t xml:space="preserve">70-85%</w:t>
            </w:r>
          </w:p>
        </w:tc>
        <w:tc>
          <w:tcPr>
            <w:tcW w:type="pct" w:w="20%"/>
            <w:tcMar>
              <w:top w:type="dxa" w:w="46"/>
              <w:left w:type="dxa" w:w="74"/>
              <w:bottom w:type="dxa" w:w="46"/>
              <w:right w:type="dxa" w:w="74"/>
            </w:tcMar>
          </w:tcPr>
          <w:p>
            <w:r>
              <w:rPr>
                <w:b w:val="false"/>
                <w:bCs w:val="false"/>
                <w:sz w:val="15"/>
                <w:szCs w:val="15"/>
              </w:rPr>
              <w:t xml:space="preserve">3 / 5 / 2</w:t>
            </w:r>
          </w:p>
        </w:tc>
      </w:tr>
      <w:tr>
        <w:trPr>
          <w:tblHeader w:val="false"/>
        </w:trPr>
        <w:tc>
          <w:tcPr>
            <w:tcW w:type="pct" w:w="34%"/>
            <w:tcMar>
              <w:top w:type="dxa" w:w="46"/>
              <w:left w:type="dxa" w:w="74"/>
              <w:bottom w:type="dxa" w:w="46"/>
              <w:right w:type="dxa" w:w="74"/>
            </w:tcMar>
          </w:tcPr>
          <w:p>
            <w:r>
              <w:rPr>
                <w:b w:val="false"/>
                <w:bCs w:val="false"/>
                <w:sz w:val="15"/>
                <w:szCs w:val="15"/>
              </w:rPr>
              <w:t xml:space="preserve">Visit pace ratio</w:t>
            </w:r>
          </w:p>
        </w:tc>
        <w:tc>
          <w:tcPr>
            <w:tcW w:type="pct" w:w="14%"/>
            <w:tcMar>
              <w:top w:type="dxa" w:w="46"/>
              <w:left w:type="dxa" w:w="74"/>
              <w:bottom w:type="dxa" w:w="46"/>
              <w:right w:type="dxa" w:w="74"/>
            </w:tcMar>
          </w:tcPr>
          <w:p>
            <w:r>
              <w:rPr>
                <w:b w:val="false"/>
                <w:bCs w:val="false"/>
                <w:sz w:val="15"/>
                <w:szCs w:val="15"/>
              </w:rPr>
              <w:t xml:space="preserve">&lt; 0.60</w:t>
            </w:r>
          </w:p>
        </w:tc>
        <w:tc>
          <w:tcPr>
            <w:tcW w:type="pct" w:w="16%"/>
            <w:tcMar>
              <w:top w:type="dxa" w:w="46"/>
              <w:left w:type="dxa" w:w="74"/>
              <w:bottom w:type="dxa" w:w="46"/>
              <w:right w:type="dxa" w:w="74"/>
            </w:tcMar>
          </w:tcPr>
          <w:p>
            <w:r>
              <w:rPr>
                <w:b w:val="false"/>
                <w:bCs w:val="false"/>
                <w:sz w:val="15"/>
                <w:szCs w:val="15"/>
              </w:rPr>
              <w:t xml:space="preserve">0.60-0.80</w:t>
            </w:r>
          </w:p>
        </w:tc>
        <w:tc>
          <w:tcPr>
            <w:tcW w:type="pct" w:w="16%"/>
            <w:tcMar>
              <w:top w:type="dxa" w:w="46"/>
              <w:left w:type="dxa" w:w="74"/>
              <w:bottom w:type="dxa" w:w="46"/>
              <w:right w:type="dxa" w:w="74"/>
            </w:tcMar>
          </w:tcPr>
          <w:p>
            <w:r>
              <w:rPr>
                <w:b w:val="false"/>
                <w:bCs w:val="false"/>
                <w:sz w:val="15"/>
                <w:szCs w:val="15"/>
              </w:rPr>
              <w:t xml:space="preserve">0.80-0.95</w:t>
            </w:r>
          </w:p>
        </w:tc>
        <w:tc>
          <w:tcPr>
            <w:tcW w:type="pct" w:w="20%"/>
            <w:tcMar>
              <w:top w:type="dxa" w:w="46"/>
              <w:left w:type="dxa" w:w="74"/>
              <w:bottom w:type="dxa" w:w="46"/>
              <w:right w:type="dxa" w:w="74"/>
            </w:tcMar>
          </w:tcPr>
          <w:p>
            <w:r>
              <w:rPr>
                <w:b w:val="false"/>
                <w:bCs w:val="false"/>
                <w:sz w:val="15"/>
                <w:szCs w:val="15"/>
              </w:rPr>
              <w:t xml:space="preserve">4 / 2 / 1</w:t>
            </w:r>
          </w:p>
        </w:tc>
      </w:tr>
      <w:tr>
        <w:trPr>
          <w:tblHeader w:val="false"/>
        </w:trPr>
        <w:tc>
          <w:tcPr>
            <w:tcW w:type="pct" w:w="34%"/>
            <w:tcMar>
              <w:top w:type="dxa" w:w="46"/>
              <w:left w:type="dxa" w:w="74"/>
              <w:bottom w:type="dxa" w:w="46"/>
              <w:right w:type="dxa" w:w="74"/>
            </w:tcMar>
          </w:tcPr>
          <w:p>
            <w:r>
              <w:rPr>
                <w:b w:val="false"/>
                <w:bCs w:val="false"/>
                <w:sz w:val="15"/>
                <w:szCs w:val="15"/>
              </w:rPr>
              <w:t xml:space="preserve">Unassigned retailer share</w:t>
            </w:r>
          </w:p>
        </w:tc>
        <w:tc>
          <w:tcPr>
            <w:tcW w:type="pct" w:w="14%"/>
            <w:tcMar>
              <w:top w:type="dxa" w:w="46"/>
              <w:left w:type="dxa" w:w="74"/>
              <w:bottom w:type="dxa" w:w="46"/>
              <w:right w:type="dxa" w:w="74"/>
            </w:tcMar>
          </w:tcPr>
          <w:p>
            <w:r>
              <w:rPr>
                <w:b w:val="false"/>
                <w:bCs w:val="false"/>
                <w:sz w:val="15"/>
                <w:szCs w:val="15"/>
              </w:rPr>
              <w:t xml:space="preserve">&gt;= 50%</w:t>
            </w:r>
          </w:p>
        </w:tc>
        <w:tc>
          <w:tcPr>
            <w:tcW w:type="pct" w:w="16%"/>
            <w:tcMar>
              <w:top w:type="dxa" w:w="46"/>
              <w:left w:type="dxa" w:w="74"/>
              <w:bottom w:type="dxa" w:w="46"/>
              <w:right w:type="dxa" w:w="74"/>
            </w:tcMar>
          </w:tcPr>
          <w:p>
            <w:r>
              <w:rPr>
                <w:b w:val="false"/>
                <w:bCs w:val="false"/>
                <w:sz w:val="15"/>
                <w:szCs w:val="15"/>
              </w:rPr>
              <w:t xml:space="preserve">35-50%</w:t>
            </w:r>
          </w:p>
        </w:tc>
        <w:tc>
          <w:tcPr>
            <w:tcW w:type="pct" w:w="16%"/>
            <w:tcMar>
              <w:top w:type="dxa" w:w="46"/>
              <w:left w:type="dxa" w:w="74"/>
              <w:bottom w:type="dxa" w:w="46"/>
              <w:right w:type="dxa" w:w="74"/>
            </w:tcMar>
          </w:tcPr>
          <w:p>
            <w:r>
              <w:rPr>
                <w:b w:val="false"/>
                <w:bCs w:val="false"/>
                <w:sz w:val="15"/>
                <w:szCs w:val="15"/>
              </w:rPr>
              <w:t xml:space="preserve">20-35%</w:t>
            </w:r>
          </w:p>
        </w:tc>
        <w:tc>
          <w:tcPr>
            <w:tcW w:type="pct" w:w="20%"/>
            <w:tcMar>
              <w:top w:type="dxa" w:w="46"/>
              <w:left w:type="dxa" w:w="74"/>
              <w:bottom w:type="dxa" w:w="46"/>
              <w:right w:type="dxa" w:w="74"/>
            </w:tcMar>
          </w:tcPr>
          <w:p>
            <w:r>
              <w:rPr>
                <w:b w:val="false"/>
                <w:bCs w:val="false"/>
                <w:sz w:val="15"/>
                <w:szCs w:val="15"/>
              </w:rPr>
              <w:t xml:space="preserve">4 / 3 / 4</w:t>
            </w:r>
          </w:p>
        </w:tc>
      </w:tr>
      <w:tr>
        <w:trPr>
          <w:tblHeader w:val="false"/>
        </w:trPr>
        <w:tc>
          <w:tcPr>
            <w:tcW w:type="pct" w:w="34%"/>
            <w:tcMar>
              <w:top w:type="dxa" w:w="46"/>
              <w:left w:type="dxa" w:w="74"/>
              <w:bottom w:type="dxa" w:w="46"/>
              <w:right w:type="dxa" w:w="74"/>
            </w:tcMar>
          </w:tcPr>
          <w:p>
            <w:r>
              <w:rPr>
                <w:b w:val="false"/>
                <w:bCs w:val="false"/>
                <w:sz w:val="15"/>
                <w:szCs w:val="15"/>
              </w:rPr>
              <w:t xml:space="preserve">Effective retailers</w:t>
            </w:r>
          </w:p>
        </w:tc>
        <w:tc>
          <w:tcPr>
            <w:tcW w:type="pct" w:w="14%"/>
            <w:tcMar>
              <w:top w:type="dxa" w:w="46"/>
              <w:left w:type="dxa" w:w="74"/>
              <w:bottom w:type="dxa" w:w="46"/>
              <w:right w:type="dxa" w:w="74"/>
            </w:tcMar>
          </w:tcPr>
          <w:p>
            <w:r>
              <w:rPr>
                <w:b w:val="false"/>
                <w:bCs w:val="false"/>
                <w:sz w:val="15"/>
                <w:szCs w:val="15"/>
              </w:rPr>
              <w:t xml:space="preserve">&lt; 5</w:t>
            </w:r>
          </w:p>
        </w:tc>
        <w:tc>
          <w:tcPr>
            <w:tcW w:type="pct" w:w="16%"/>
            <w:tcMar>
              <w:top w:type="dxa" w:w="46"/>
              <w:left w:type="dxa" w:w="74"/>
              <w:bottom w:type="dxa" w:w="46"/>
              <w:right w:type="dxa" w:w="74"/>
            </w:tcMar>
          </w:tcPr>
          <w:p>
            <w:r>
              <w:rPr>
                <w:b w:val="false"/>
                <w:bCs w:val="false"/>
                <w:sz w:val="15"/>
                <w:szCs w:val="15"/>
              </w:rPr>
              <w:t xml:space="preserve">5-10</w:t>
            </w:r>
          </w:p>
        </w:tc>
        <w:tc>
          <w:tcPr>
            <w:tcW w:type="pct" w:w="16%"/>
            <w:tcMar>
              <w:top w:type="dxa" w:w="46"/>
              <w:left w:type="dxa" w:w="74"/>
              <w:bottom w:type="dxa" w:w="46"/>
              <w:right w:type="dxa" w:w="74"/>
            </w:tcMar>
          </w:tcPr>
          <w:p>
            <w:r>
              <w:rPr>
                <w:b w:val="false"/>
                <w:bCs w:val="false"/>
                <w:sz w:val="15"/>
                <w:szCs w:val="15"/>
              </w:rPr>
              <w:t xml:space="preserve">10-20</w:t>
            </w:r>
          </w:p>
        </w:tc>
        <w:tc>
          <w:tcPr>
            <w:tcW w:type="pct" w:w="20%"/>
            <w:tcMar>
              <w:top w:type="dxa" w:w="46"/>
              <w:left w:type="dxa" w:w="74"/>
              <w:bottom w:type="dxa" w:w="46"/>
              <w:right w:type="dxa" w:w="74"/>
            </w:tcMar>
          </w:tcPr>
          <w:p>
            <w:r>
              <w:rPr>
                <w:b w:val="false"/>
                <w:bCs w:val="false"/>
                <w:sz w:val="15"/>
                <w:szCs w:val="15"/>
              </w:rPr>
              <w:t xml:space="preserve">2 / 1 / 4</w:t>
            </w:r>
          </w:p>
        </w:tc>
      </w:tr>
      <w:tr>
        <w:trPr>
          <w:tblHeader w:val="false"/>
        </w:trPr>
        <w:tc>
          <w:tcPr>
            <w:tcW w:type="pct" w:w="34%"/>
            <w:tcMar>
              <w:top w:type="dxa" w:w="46"/>
              <w:left w:type="dxa" w:w="74"/>
              <w:bottom w:type="dxa" w:w="46"/>
              <w:right w:type="dxa" w:w="74"/>
            </w:tcMar>
          </w:tcPr>
          <w:p>
            <w:r>
              <w:rPr>
                <w:b w:val="false"/>
                <w:bCs w:val="false"/>
                <w:sz w:val="15"/>
                <w:szCs w:val="15"/>
              </w:rPr>
              <w:t xml:space="preserve">At-risk share of last-year value</w:t>
            </w:r>
          </w:p>
        </w:tc>
        <w:tc>
          <w:tcPr>
            <w:tcW w:type="pct" w:w="14%"/>
            <w:tcMar>
              <w:top w:type="dxa" w:w="46"/>
              <w:left w:type="dxa" w:w="74"/>
              <w:bottom w:type="dxa" w:w="46"/>
              <w:right w:type="dxa" w:w="74"/>
            </w:tcMar>
          </w:tcPr>
          <w:p>
            <w:r>
              <w:rPr>
                <w:b w:val="false"/>
                <w:bCs w:val="false"/>
                <w:sz w:val="15"/>
                <w:szCs w:val="15"/>
              </w:rPr>
              <w:t xml:space="preserve">&gt;= 25%</w:t>
            </w:r>
          </w:p>
        </w:tc>
        <w:tc>
          <w:tcPr>
            <w:tcW w:type="pct" w:w="16%"/>
            <w:tcMar>
              <w:top w:type="dxa" w:w="46"/>
              <w:left w:type="dxa" w:w="74"/>
              <w:bottom w:type="dxa" w:w="46"/>
              <w:right w:type="dxa" w:w="74"/>
            </w:tcMar>
          </w:tcPr>
          <w:p>
            <w:r>
              <w:rPr>
                <w:b w:val="false"/>
                <w:bCs w:val="false"/>
                <w:sz w:val="15"/>
                <w:szCs w:val="15"/>
              </w:rPr>
              <w:t xml:space="preserve">15-25%</w:t>
            </w:r>
          </w:p>
        </w:tc>
        <w:tc>
          <w:tcPr>
            <w:tcW w:type="pct" w:w="16%"/>
            <w:tcMar>
              <w:top w:type="dxa" w:w="46"/>
              <w:left w:type="dxa" w:w="74"/>
              <w:bottom w:type="dxa" w:w="46"/>
              <w:right w:type="dxa" w:w="74"/>
            </w:tcMar>
          </w:tcPr>
          <w:p>
            <w:r>
              <w:rPr>
                <w:b w:val="false"/>
                <w:bCs w:val="false"/>
                <w:sz w:val="15"/>
                <w:szCs w:val="15"/>
              </w:rPr>
              <w:t xml:space="preserve">8-15%</w:t>
            </w:r>
          </w:p>
        </w:tc>
        <w:tc>
          <w:tcPr>
            <w:tcW w:type="pct" w:w="20%"/>
            <w:tcMar>
              <w:top w:type="dxa" w:w="46"/>
              <w:left w:type="dxa" w:w="74"/>
              <w:bottom w:type="dxa" w:w="46"/>
              <w:right w:type="dxa" w:w="74"/>
            </w:tcMar>
          </w:tcPr>
          <w:p>
            <w:r>
              <w:rPr>
                <w:b w:val="false"/>
                <w:bCs w:val="false"/>
                <w:sz w:val="15"/>
                <w:szCs w:val="15"/>
              </w:rPr>
              <w:t xml:space="preserve">4 / 1 / 4</w:t>
            </w:r>
          </w:p>
        </w:tc>
      </w:tr>
    </w:tbl>
    <w:p>
      <w:pPr>
        <w:spacing w:after="50"/>
        <w:ind w:left="280"/>
      </w:pPr>
      <w:r>
        <w:rPr>
          <w:rFonts w:ascii="Courier New" w:cs="Courier New" w:eastAsia="Courier New" w:hAnsi="Courier New"/>
          <w:sz w:val="16"/>
          <w:szCs w:val="16"/>
        </w:rPr>
        <w:t xml:space="preserve">visit pace ratio = (visits done / annual visits required) / (elapsed share of year)</w:t>
      </w:r>
    </w:p>
    <w:p>
      <w:pPr>
        <w:spacing w:after="100"/>
      </w:pPr>
      <w:r>
        <w:t xml:space="preserve">The pace ratio is the important construction. Raw visit coverage looks alarming for everyone - the team is at 18 per cent of annual visits with 25 per cent of the year gone. Normalised, Tarun Giri is at 1.04 and on track while Jagdev is at 0.52 and running at half the required rate. Only the second statement is actionable.</w:t>
      </w:r>
    </w:p>
    <w:p>
      <w:pPr>
        <w:pStyle w:val="Heading1"/>
        <w:spacing w:after="100" w:before="240"/>
      </w:pPr>
      <w:r>
        <w:rPr>
          <w:b/>
          <w:bCs/>
        </w:rPr>
        <w:t xml:space="preserve">The warning catalogue</w:t>
      </w:r>
    </w:p>
    <w:p>
      <w:pPr>
        <w:pStyle w:val="Heading2"/>
        <w:spacing w:after="65" w:before="180"/>
      </w:pPr>
      <w:r>
        <w:rPr>
          <w:b/>
          <w:bCs/>
        </w:rPr>
        <w:t xml:space="preserve">A. Target and 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EEF5F5" w:color="auto" w:val="clear"/>
            <w:tcMar>
              <w:top w:type="dxa" w:w="46"/>
              <w:left w:type="dxa" w:w="74"/>
              <w:bottom w:type="dxa" w:w="46"/>
              <w:right w:type="dxa" w:w="74"/>
            </w:tcMar>
          </w:tcPr>
          <w:p>
            <w:r>
              <w:rPr>
                <w:b/>
                <w:bCs/>
                <w:sz w:val="15"/>
                <w:szCs w:val="15"/>
              </w:rPr>
              <w:t xml:space="preserve">#</w:t>
            </w:r>
          </w:p>
        </w:tc>
        <w:tc>
          <w:tcPr>
            <w:tcW w:type="pct" w:w="26%"/>
            <w:shd w:fill="EEF5F5" w:color="auto" w:val="clear"/>
            <w:tcMar>
              <w:top w:type="dxa" w:w="46"/>
              <w:left w:type="dxa" w:w="74"/>
              <w:bottom w:type="dxa" w:w="46"/>
              <w:right w:type="dxa" w:w="74"/>
            </w:tcMar>
          </w:tcPr>
          <w:p>
            <w:r>
              <w:rPr>
                <w:b/>
                <w:bCs/>
                <w:sz w:val="15"/>
                <w:szCs w:val="15"/>
              </w:rPr>
              <w:t xml:space="preserve">Warning</w:t>
            </w:r>
          </w:p>
        </w:tc>
        <w:tc>
          <w:tcPr>
            <w:tcW w:type="pct" w:w="26%"/>
            <w:shd w:fill="EEF5F5" w:color="auto" w:val="clear"/>
            <w:tcMar>
              <w:top w:type="dxa" w:w="46"/>
              <w:left w:type="dxa" w:w="74"/>
              <w:bottom w:type="dxa" w:w="46"/>
              <w:right w:type="dxa" w:w="74"/>
            </w:tcMar>
          </w:tcPr>
          <w:p>
            <w:r>
              <w:rPr>
                <w:b/>
                <w:bCs/>
                <w:sz w:val="15"/>
                <w:szCs w:val="15"/>
              </w:rPr>
              <w:t xml:space="preserve">Trigger</w:t>
            </w:r>
          </w:p>
        </w:tc>
        <w:tc>
          <w:tcPr>
            <w:tcW w:type="pct" w:w="42%"/>
            <w:shd w:fill="EEF5F5" w:color="auto" w:val="clear"/>
            <w:tcMar>
              <w:top w:type="dxa" w:w="46"/>
              <w:left w:type="dxa" w:w="74"/>
              <w:bottom w:type="dxa" w:w="46"/>
              <w:right w:type="dxa" w:w="74"/>
            </w:tcMar>
          </w:tcPr>
          <w:p>
            <w:r>
              <w:rPr>
                <w:b/>
                <w:bCs/>
                <w:sz w:val="15"/>
                <w:szCs w:val="15"/>
              </w:rPr>
              <w:t xml:space="preserve">Suggested action</w:t>
            </w:r>
          </w:p>
        </w:tc>
      </w:tr>
      <w:tr>
        <w:trPr>
          <w:tblHeader w:val="false"/>
        </w:trPr>
        <w:tc>
          <w:tcPr>
            <w:tcW w:type="pct" w:w="6%"/>
            <w:tcMar>
              <w:top w:type="dxa" w:w="46"/>
              <w:left w:type="dxa" w:w="74"/>
              <w:bottom w:type="dxa" w:w="46"/>
              <w:right w:type="dxa" w:w="74"/>
            </w:tcMar>
          </w:tcPr>
          <w:p>
            <w:r>
              <w:rPr>
                <w:b w:val="false"/>
                <w:bCs w:val="false"/>
                <w:sz w:val="15"/>
                <w:szCs w:val="15"/>
              </w:rPr>
              <w:t xml:space="preserve">A1</w:t>
            </w:r>
          </w:p>
        </w:tc>
        <w:tc>
          <w:tcPr>
            <w:tcW w:type="pct" w:w="26%"/>
            <w:tcMar>
              <w:top w:type="dxa" w:w="46"/>
              <w:left w:type="dxa" w:w="74"/>
              <w:bottom w:type="dxa" w:w="46"/>
              <w:right w:type="dxa" w:w="74"/>
            </w:tcMar>
          </w:tcPr>
          <w:p>
            <w:r>
              <w:rPr>
                <w:b w:val="false"/>
                <w:bCs w:val="false"/>
                <w:sz w:val="15"/>
                <w:szCs w:val="15"/>
              </w:rPr>
              <w:t xml:space="preserve">Behind to-date target</w:t>
            </w:r>
          </w:p>
        </w:tc>
        <w:tc>
          <w:tcPr>
            <w:tcW w:type="pct" w:w="26%"/>
            <w:tcMar>
              <w:top w:type="dxa" w:w="46"/>
              <w:left w:type="dxa" w:w="74"/>
              <w:bottom w:type="dxa" w:w="46"/>
              <w:right w:type="dxa" w:w="74"/>
            </w:tcMar>
          </w:tcPr>
          <w:p>
            <w:r>
              <w:rPr>
                <w:b w:val="false"/>
                <w:bCs w:val="false"/>
                <w:sz w:val="15"/>
                <w:szCs w:val="15"/>
              </w:rPr>
              <w:t xml:space="preserve">achievement vs pro-rated target</w:t>
            </w:r>
          </w:p>
        </w:tc>
        <w:tc>
          <w:tcPr>
            <w:tcW w:type="pct" w:w="42%"/>
            <w:tcMar>
              <w:top w:type="dxa" w:w="46"/>
              <w:left w:type="dxa" w:w="74"/>
              <w:bottom w:type="dxa" w:w="46"/>
              <w:right w:type="dxa" w:w="74"/>
            </w:tcMar>
          </w:tcPr>
          <w:p>
            <w:r>
              <w:rPr>
                <w:b w:val="false"/>
                <w:bCs w:val="false"/>
                <w:sz w:val="15"/>
                <w:szCs w:val="15"/>
              </w:rPr>
              <w:t xml:space="preserve">Check whether it is coverage or conversion before pushing target</w:t>
            </w:r>
          </w:p>
        </w:tc>
      </w:tr>
      <w:tr>
        <w:trPr>
          <w:tblHeader w:val="false"/>
        </w:trPr>
        <w:tc>
          <w:tcPr>
            <w:tcW w:type="pct" w:w="6%"/>
            <w:tcMar>
              <w:top w:type="dxa" w:w="46"/>
              <w:left w:type="dxa" w:w="74"/>
              <w:bottom w:type="dxa" w:w="46"/>
              <w:right w:type="dxa" w:w="74"/>
            </w:tcMar>
          </w:tcPr>
          <w:p>
            <w:r>
              <w:rPr>
                <w:b w:val="false"/>
                <w:bCs w:val="false"/>
                <w:sz w:val="15"/>
                <w:szCs w:val="15"/>
              </w:rPr>
              <w:t xml:space="preserve">A2</w:t>
            </w:r>
          </w:p>
        </w:tc>
        <w:tc>
          <w:tcPr>
            <w:tcW w:type="pct" w:w="26%"/>
            <w:tcMar>
              <w:top w:type="dxa" w:w="46"/>
              <w:left w:type="dxa" w:w="74"/>
              <w:bottom w:type="dxa" w:w="46"/>
              <w:right w:type="dxa" w:w="74"/>
            </w:tcMar>
          </w:tcPr>
          <w:p>
            <w:r>
              <w:rPr>
                <w:b w:val="false"/>
                <w:bCs w:val="false"/>
                <w:sz w:val="15"/>
                <w:szCs w:val="15"/>
              </w:rPr>
              <w:t xml:space="preserve">Run rate misses annual plan</w:t>
            </w:r>
          </w:p>
        </w:tc>
        <w:tc>
          <w:tcPr>
            <w:tcW w:type="pct" w:w="26%"/>
            <w:tcMar>
              <w:top w:type="dxa" w:w="46"/>
              <w:left w:type="dxa" w:w="74"/>
              <w:bottom w:type="dxa" w:w="46"/>
              <w:right w:type="dxa" w:w="74"/>
            </w:tcMar>
          </w:tcPr>
          <w:p>
            <w:r>
              <w:rPr>
                <w:b w:val="false"/>
                <w:bCs w:val="false"/>
                <w:sz w:val="15"/>
                <w:szCs w:val="15"/>
              </w:rPr>
              <w:t xml:space="preserve">projected annual vs annual plan</w:t>
            </w:r>
          </w:p>
        </w:tc>
        <w:tc>
          <w:tcPr>
            <w:tcW w:type="pct" w:w="42%"/>
            <w:tcMar>
              <w:top w:type="dxa" w:w="46"/>
              <w:left w:type="dxa" w:w="74"/>
              <w:bottom w:type="dxa" w:w="46"/>
              <w:right w:type="dxa" w:w="74"/>
            </w:tcMar>
          </w:tcPr>
          <w:p>
            <w:r>
              <w:rPr>
                <w:b w:val="false"/>
                <w:bCs w:val="false"/>
                <w:sz w:val="15"/>
                <w:szCs w:val="15"/>
              </w:rPr>
              <w:t xml:space="preserve">Re-plan the remaining months rather than restate the annual number</w:t>
            </w:r>
          </w:p>
        </w:tc>
      </w:tr>
      <w:tr>
        <w:trPr>
          <w:tblHeader w:val="false"/>
        </w:trPr>
        <w:tc>
          <w:tcPr>
            <w:tcW w:type="pct" w:w="6%"/>
            <w:tcMar>
              <w:top w:type="dxa" w:w="46"/>
              <w:left w:type="dxa" w:w="74"/>
              <w:bottom w:type="dxa" w:w="46"/>
              <w:right w:type="dxa" w:w="74"/>
            </w:tcMar>
          </w:tcPr>
          <w:p>
            <w:r>
              <w:rPr>
                <w:b w:val="false"/>
                <w:bCs w:val="false"/>
                <w:sz w:val="15"/>
                <w:szCs w:val="15"/>
              </w:rPr>
              <w:t xml:space="preserve">A3</w:t>
            </w:r>
          </w:p>
        </w:tc>
        <w:tc>
          <w:tcPr>
            <w:tcW w:type="pct" w:w="26%"/>
            <w:tcMar>
              <w:top w:type="dxa" w:w="46"/>
              <w:left w:type="dxa" w:w="74"/>
              <w:bottom w:type="dxa" w:w="46"/>
              <w:right w:type="dxa" w:w="74"/>
            </w:tcMar>
          </w:tcPr>
          <w:p>
            <w:r>
              <w:rPr>
                <w:b w:val="false"/>
                <w:bCs w:val="false"/>
                <w:sz w:val="15"/>
                <w:szCs w:val="15"/>
              </w:rPr>
              <w:t xml:space="preserve">Momentum reversing</w:t>
            </w:r>
          </w:p>
        </w:tc>
        <w:tc>
          <w:tcPr>
            <w:tcW w:type="pct" w:w="26%"/>
            <w:tcMar>
              <w:top w:type="dxa" w:w="46"/>
              <w:left w:type="dxa" w:w="74"/>
              <w:bottom w:type="dxa" w:w="46"/>
              <w:right w:type="dxa" w:w="74"/>
            </w:tcMar>
          </w:tcPr>
          <w:p>
            <w:r>
              <w:rPr>
                <w:b w:val="false"/>
                <w:bCs w:val="false"/>
                <w:sz w:val="15"/>
                <w:szCs w:val="15"/>
              </w:rPr>
              <w:t xml:space="preserve">month-on-month direction over 3 months</w:t>
            </w:r>
          </w:p>
        </w:tc>
        <w:tc>
          <w:tcPr>
            <w:tcW w:type="pct" w:w="42%"/>
            <w:tcMar>
              <w:top w:type="dxa" w:w="46"/>
              <w:left w:type="dxa" w:w="74"/>
              <w:bottom w:type="dxa" w:w="46"/>
              <w:right w:type="dxa" w:w="74"/>
            </w:tcMar>
          </w:tcPr>
          <w:p>
            <w:r>
              <w:rPr>
                <w:b w:val="false"/>
                <w:bCs w:val="false"/>
                <w:sz w:val="15"/>
                <w:szCs w:val="15"/>
              </w:rPr>
              <w:t xml:space="preserve">Look at the month the direction changed and what happened in it</w:t>
            </w:r>
          </w:p>
        </w:tc>
      </w:tr>
      <w:tr>
        <w:trPr>
          <w:tblHeader w:val="false"/>
        </w:trPr>
        <w:tc>
          <w:tcPr>
            <w:tcW w:type="pct" w:w="6%"/>
            <w:tcMar>
              <w:top w:type="dxa" w:w="46"/>
              <w:left w:type="dxa" w:w="74"/>
              <w:bottom w:type="dxa" w:w="46"/>
              <w:right w:type="dxa" w:w="74"/>
            </w:tcMar>
          </w:tcPr>
          <w:p>
            <w:r>
              <w:rPr>
                <w:b w:val="false"/>
                <w:bCs w:val="false"/>
                <w:sz w:val="15"/>
                <w:szCs w:val="15"/>
              </w:rPr>
              <w:t xml:space="preserve">A4</w:t>
            </w:r>
          </w:p>
        </w:tc>
        <w:tc>
          <w:tcPr>
            <w:tcW w:type="pct" w:w="26%"/>
            <w:tcMar>
              <w:top w:type="dxa" w:w="46"/>
              <w:left w:type="dxa" w:w="74"/>
              <w:bottom w:type="dxa" w:w="46"/>
              <w:right w:type="dxa" w:w="74"/>
            </w:tcMar>
          </w:tcPr>
          <w:p>
            <w:r>
              <w:rPr>
                <w:b w:val="false"/>
                <w:bCs w:val="false"/>
                <w:sz w:val="15"/>
                <w:szCs w:val="15"/>
              </w:rPr>
              <w:t xml:space="preserve">Booking not converting to sale</w:t>
            </w:r>
          </w:p>
        </w:tc>
        <w:tc>
          <w:tcPr>
            <w:tcW w:type="pct" w:w="26%"/>
            <w:tcMar>
              <w:top w:type="dxa" w:w="46"/>
              <w:left w:type="dxa" w:w="74"/>
              <w:bottom w:type="dxa" w:w="46"/>
              <w:right w:type="dxa" w:w="74"/>
            </w:tcMar>
          </w:tcPr>
          <w:p>
            <w:r>
              <w:rPr>
                <w:b w:val="false"/>
                <w:bCs w:val="false"/>
                <w:sz w:val="15"/>
                <w:szCs w:val="15"/>
              </w:rPr>
              <w:t xml:space="preserve">sale materially below booking</w:t>
            </w:r>
          </w:p>
        </w:tc>
        <w:tc>
          <w:tcPr>
            <w:tcW w:type="pct" w:w="42%"/>
            <w:tcMar>
              <w:top w:type="dxa" w:w="46"/>
              <w:left w:type="dxa" w:w="74"/>
              <w:bottom w:type="dxa" w:w="46"/>
              <w:right w:type="dxa" w:w="74"/>
            </w:tcMar>
          </w:tcPr>
          <w:p>
            <w:r>
              <w:rPr>
                <w:b w:val="false"/>
                <w:bCs w:val="false"/>
                <w:sz w:val="15"/>
                <w:szCs w:val="15"/>
              </w:rPr>
              <w:t xml:space="preserve">Check dispatch, credit hold, or an unmaintained sale column</w:t>
            </w:r>
          </w:p>
        </w:tc>
      </w:tr>
    </w:tbl>
    <w:p>
      <w:pPr>
        <w:pStyle w:val="Heading2"/>
        <w:spacing w:after="65" w:before="180"/>
      </w:pPr>
      <w:r>
        <w:rPr>
          <w:b/>
          <w:bCs/>
        </w:rPr>
        <w:t xml:space="preserve">B. Real value - net of MRP increase</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This is the family that needs the price index, and the app already computes it. The Laspeyres multiplier reactivated in O1-F gives 1.069 company-wide - prices up 6.9 per cent year on year, mix removed. So nominal growth BELOW 6.9 per cent is real shrinkage, and the break-even differs sharply by segment.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shd w:fill="EEF5F5" w:color="auto" w:val="clear"/>
            <w:tcMar>
              <w:top w:type="dxa" w:w="46"/>
              <w:left w:type="dxa" w:w="74"/>
              <w:bottom w:type="dxa" w:w="46"/>
              <w:right w:type="dxa" w:w="74"/>
            </w:tcMar>
          </w:tcPr>
          <w:p>
            <w:r>
              <w:rPr>
                <w:b/>
                <w:bCs/>
                <w:sz w:val="15"/>
                <w:szCs w:val="15"/>
              </w:rPr>
              <w:t xml:space="preserve">Segment</w:t>
            </w:r>
          </w:p>
        </w:tc>
        <w:tc>
          <w:tcPr>
            <w:tcW w:type="pct" w:w="18%"/>
            <w:shd w:fill="EEF5F5" w:color="auto" w:val="clear"/>
            <w:tcMar>
              <w:top w:type="dxa" w:w="46"/>
              <w:left w:type="dxa" w:w="74"/>
              <w:bottom w:type="dxa" w:w="46"/>
              <w:right w:type="dxa" w:w="74"/>
            </w:tcMar>
          </w:tcPr>
          <w:p>
            <w:r>
              <w:rPr>
                <w:b/>
                <w:bCs/>
                <w:sz w:val="15"/>
                <w:szCs w:val="15"/>
              </w:rPr>
              <w:t xml:space="preserve">Multiplier</w:t>
            </w:r>
          </w:p>
        </w:tc>
        <w:tc>
          <w:tcPr>
            <w:tcW w:type="pct" w:w="48%"/>
            <w:shd w:fill="EEF5F5" w:color="auto" w:val="clear"/>
            <w:tcMar>
              <w:top w:type="dxa" w:w="46"/>
              <w:left w:type="dxa" w:w="74"/>
              <w:bottom w:type="dxa" w:w="46"/>
              <w:right w:type="dxa" w:w="74"/>
            </w:tcMar>
          </w:tcPr>
          <w:p>
            <w:r>
              <w:rPr>
                <w:b/>
                <w:bCs/>
                <w:sz w:val="15"/>
                <w:szCs w:val="15"/>
              </w:rPr>
              <w:t xml:space="preserve">Nominal growth needed just to stand still</w:t>
            </w:r>
          </w:p>
        </w:tc>
      </w:tr>
      <w:tr>
        <w:trPr>
          <w:tblHeader w:val="false"/>
        </w:trPr>
        <w:tc>
          <w:tcPr>
            <w:tcW w:type="pct" w:w="34%"/>
            <w:tcMar>
              <w:top w:type="dxa" w:w="46"/>
              <w:left w:type="dxa" w:w="74"/>
              <w:bottom w:type="dxa" w:w="46"/>
              <w:right w:type="dxa" w:w="74"/>
            </w:tcMar>
          </w:tcPr>
          <w:p>
            <w:r>
              <w:rPr>
                <w:b w:val="false"/>
                <w:bCs w:val="false"/>
                <w:sz w:val="15"/>
                <w:szCs w:val="15"/>
              </w:rPr>
              <w:t xml:space="preserve">Water tank</w:t>
            </w:r>
          </w:p>
        </w:tc>
        <w:tc>
          <w:tcPr>
            <w:tcW w:type="pct" w:w="18%"/>
            <w:tcMar>
              <w:top w:type="dxa" w:w="46"/>
              <w:left w:type="dxa" w:w="74"/>
              <w:bottom w:type="dxa" w:w="46"/>
              <w:right w:type="dxa" w:w="74"/>
            </w:tcMar>
          </w:tcPr>
          <w:p>
            <w:r>
              <w:rPr>
                <w:b w:val="false"/>
                <w:bCs w:val="false"/>
                <w:sz w:val="15"/>
                <w:szCs w:val="15"/>
              </w:rPr>
              <w:t xml:space="preserve">1.181</w:t>
            </w:r>
          </w:p>
        </w:tc>
        <w:tc>
          <w:tcPr>
            <w:tcW w:type="pct" w:w="48%"/>
            <w:tcMar>
              <w:top w:type="dxa" w:w="46"/>
              <w:left w:type="dxa" w:w="74"/>
              <w:bottom w:type="dxa" w:w="46"/>
              <w:right w:type="dxa" w:w="74"/>
            </w:tcMar>
          </w:tcPr>
          <w:p>
            <w:r>
              <w:rPr>
                <w:b w:val="false"/>
                <w:bCs w:val="false"/>
                <w:sz w:val="15"/>
                <w:szCs w:val="15"/>
              </w:rPr>
              <w:t xml:space="preserve">+18.1%</w:t>
            </w:r>
          </w:p>
        </w:tc>
      </w:tr>
      <w:tr>
        <w:trPr>
          <w:tblHeader w:val="false"/>
        </w:trPr>
        <w:tc>
          <w:tcPr>
            <w:tcW w:type="pct" w:w="34%"/>
            <w:tcMar>
              <w:top w:type="dxa" w:w="46"/>
              <w:left w:type="dxa" w:w="74"/>
              <w:bottom w:type="dxa" w:w="46"/>
              <w:right w:type="dxa" w:w="74"/>
            </w:tcMar>
          </w:tcPr>
          <w:p>
            <w:r>
              <w:rPr>
                <w:b w:val="false"/>
                <w:bCs w:val="false"/>
                <w:sz w:val="15"/>
                <w:szCs w:val="15"/>
              </w:rPr>
              <w:t xml:space="preserve">Cistern</w:t>
            </w:r>
          </w:p>
        </w:tc>
        <w:tc>
          <w:tcPr>
            <w:tcW w:type="pct" w:w="18%"/>
            <w:tcMar>
              <w:top w:type="dxa" w:w="46"/>
              <w:left w:type="dxa" w:w="74"/>
              <w:bottom w:type="dxa" w:w="46"/>
              <w:right w:type="dxa" w:w="74"/>
            </w:tcMar>
          </w:tcPr>
          <w:p>
            <w:r>
              <w:rPr>
                <w:b w:val="false"/>
                <w:bCs w:val="false"/>
                <w:sz w:val="15"/>
                <w:szCs w:val="15"/>
              </w:rPr>
              <w:t xml:space="preserve">1.125</w:t>
            </w:r>
          </w:p>
        </w:tc>
        <w:tc>
          <w:tcPr>
            <w:tcW w:type="pct" w:w="48%"/>
            <w:tcMar>
              <w:top w:type="dxa" w:w="46"/>
              <w:left w:type="dxa" w:w="74"/>
              <w:bottom w:type="dxa" w:w="46"/>
              <w:right w:type="dxa" w:w="74"/>
            </w:tcMar>
          </w:tcPr>
          <w:p>
            <w:r>
              <w:rPr>
                <w:b w:val="false"/>
                <w:bCs w:val="false"/>
                <w:sz w:val="15"/>
                <w:szCs w:val="15"/>
              </w:rPr>
              <w:t xml:space="preserve">+12.5%</w:t>
            </w:r>
          </w:p>
        </w:tc>
      </w:tr>
      <w:tr>
        <w:trPr>
          <w:tblHeader w:val="false"/>
        </w:trPr>
        <w:tc>
          <w:tcPr>
            <w:tcW w:type="pct" w:w="34%"/>
            <w:tcMar>
              <w:top w:type="dxa" w:w="46"/>
              <w:left w:type="dxa" w:w="74"/>
              <w:bottom w:type="dxa" w:w="46"/>
              <w:right w:type="dxa" w:w="74"/>
            </w:tcMar>
          </w:tcPr>
          <w:p>
            <w:r>
              <w:rPr>
                <w:b w:val="false"/>
                <w:bCs w:val="false"/>
                <w:sz w:val="15"/>
                <w:szCs w:val="15"/>
              </w:rPr>
              <w:t xml:space="preserve">CP (chrome-plated)</w:t>
            </w:r>
          </w:p>
        </w:tc>
        <w:tc>
          <w:tcPr>
            <w:tcW w:type="pct" w:w="18%"/>
            <w:tcMar>
              <w:top w:type="dxa" w:w="46"/>
              <w:left w:type="dxa" w:w="74"/>
              <w:bottom w:type="dxa" w:w="46"/>
              <w:right w:type="dxa" w:w="74"/>
            </w:tcMar>
          </w:tcPr>
          <w:p>
            <w:r>
              <w:rPr>
                <w:b w:val="false"/>
                <w:bCs w:val="false"/>
                <w:sz w:val="15"/>
                <w:szCs w:val="15"/>
              </w:rPr>
              <w:t xml:space="preserve">1.113</w:t>
            </w:r>
          </w:p>
        </w:tc>
        <w:tc>
          <w:tcPr>
            <w:tcW w:type="pct" w:w="48%"/>
            <w:tcMar>
              <w:top w:type="dxa" w:w="46"/>
              <w:left w:type="dxa" w:w="74"/>
              <w:bottom w:type="dxa" w:w="46"/>
              <w:right w:type="dxa" w:w="74"/>
            </w:tcMar>
          </w:tcPr>
          <w:p>
            <w:r>
              <w:rPr>
                <w:b w:val="false"/>
                <w:bCs w:val="false"/>
                <w:sz w:val="15"/>
                <w:szCs w:val="15"/>
              </w:rPr>
              <w:t xml:space="preserve">+11.3%</w:t>
            </w:r>
          </w:p>
        </w:tc>
      </w:tr>
      <w:tr>
        <w:trPr>
          <w:tblHeader w:val="false"/>
        </w:trPr>
        <w:tc>
          <w:tcPr>
            <w:tcW w:type="pct" w:w="34%"/>
            <w:tcMar>
              <w:top w:type="dxa" w:w="46"/>
              <w:left w:type="dxa" w:w="74"/>
              <w:bottom w:type="dxa" w:w="46"/>
              <w:right w:type="dxa" w:w="74"/>
            </w:tcMar>
          </w:tcPr>
          <w:p>
            <w:r>
              <w:rPr>
                <w:b w:val="false"/>
                <w:bCs w:val="false"/>
                <w:sz w:val="15"/>
                <w:szCs w:val="15"/>
              </w:rPr>
              <w:t xml:space="preserve">Sanitaryware</w:t>
            </w:r>
          </w:p>
        </w:tc>
        <w:tc>
          <w:tcPr>
            <w:tcW w:type="pct" w:w="18%"/>
            <w:tcMar>
              <w:top w:type="dxa" w:w="46"/>
              <w:left w:type="dxa" w:w="74"/>
              <w:bottom w:type="dxa" w:w="46"/>
              <w:right w:type="dxa" w:w="74"/>
            </w:tcMar>
          </w:tcPr>
          <w:p>
            <w:r>
              <w:rPr>
                <w:b w:val="false"/>
                <w:bCs w:val="false"/>
                <w:sz w:val="15"/>
                <w:szCs w:val="15"/>
              </w:rPr>
              <w:t xml:space="preserve">1.089</w:t>
            </w:r>
          </w:p>
        </w:tc>
        <w:tc>
          <w:tcPr>
            <w:tcW w:type="pct" w:w="48%"/>
            <w:tcMar>
              <w:top w:type="dxa" w:w="46"/>
              <w:left w:type="dxa" w:w="74"/>
              <w:bottom w:type="dxa" w:w="46"/>
              <w:right w:type="dxa" w:w="74"/>
            </w:tcMar>
          </w:tcPr>
          <w:p>
            <w:r>
              <w:rPr>
                <w:b w:val="false"/>
                <w:bCs w:val="false"/>
                <w:sz w:val="15"/>
                <w:szCs w:val="15"/>
              </w:rPr>
              <w:t xml:space="preserve">+8.9%</w:t>
            </w:r>
          </w:p>
        </w:tc>
      </w:tr>
      <w:tr>
        <w:trPr>
          <w:tblHeader w:val="false"/>
        </w:trPr>
        <w:tc>
          <w:tcPr>
            <w:tcW w:type="pct" w:w="34%"/>
            <w:tcMar>
              <w:top w:type="dxa" w:w="46"/>
              <w:left w:type="dxa" w:w="74"/>
              <w:bottom w:type="dxa" w:w="46"/>
              <w:right w:type="dxa" w:w="74"/>
            </w:tcMar>
          </w:tcPr>
          <w:p>
            <w:r>
              <w:rPr>
                <w:b w:val="false"/>
                <w:bCs w:val="false"/>
                <w:sz w:val="15"/>
                <w:szCs w:val="15"/>
              </w:rPr>
              <w:t xml:space="preserve">Connection / waste, Garden pipe</w:t>
            </w:r>
          </w:p>
        </w:tc>
        <w:tc>
          <w:tcPr>
            <w:tcW w:type="pct" w:w="18%"/>
            <w:tcMar>
              <w:top w:type="dxa" w:w="46"/>
              <w:left w:type="dxa" w:w="74"/>
              <w:bottom w:type="dxa" w:w="46"/>
              <w:right w:type="dxa" w:w="74"/>
            </w:tcMar>
          </w:tcPr>
          <w:p>
            <w:r>
              <w:rPr>
                <w:b w:val="false"/>
                <w:bCs w:val="false"/>
                <w:sz w:val="15"/>
                <w:szCs w:val="15"/>
              </w:rPr>
              <w:t xml:space="preserve">1.073</w:t>
            </w:r>
          </w:p>
        </w:tc>
        <w:tc>
          <w:tcPr>
            <w:tcW w:type="pct" w:w="48%"/>
            <w:tcMar>
              <w:top w:type="dxa" w:w="46"/>
              <w:left w:type="dxa" w:w="74"/>
              <w:bottom w:type="dxa" w:w="46"/>
              <w:right w:type="dxa" w:w="74"/>
            </w:tcMar>
          </w:tcPr>
          <w:p>
            <w:r>
              <w:rPr>
                <w:b w:val="false"/>
                <w:bCs w:val="false"/>
                <w:sz w:val="15"/>
                <w:szCs w:val="15"/>
              </w:rPr>
              <w:t xml:space="preserve">+7.3%</w:t>
            </w:r>
          </w:p>
        </w:tc>
      </w:tr>
      <w:tr>
        <w:trPr>
          <w:tblHeader w:val="false"/>
        </w:trPr>
        <w:tc>
          <w:tcPr>
            <w:tcW w:type="pct" w:w="34%"/>
            <w:tcMar>
              <w:top w:type="dxa" w:w="46"/>
              <w:left w:type="dxa" w:w="74"/>
              <w:bottom w:type="dxa" w:w="46"/>
              <w:right w:type="dxa" w:w="74"/>
            </w:tcMar>
          </w:tcPr>
          <w:p>
            <w:r>
              <w:rPr>
                <w:b w:val="false"/>
                <w:bCs w:val="false"/>
                <w:sz w:val="15"/>
                <w:szCs w:val="15"/>
              </w:rPr>
              <w:t xml:space="preserve">AGRI</w:t>
            </w:r>
          </w:p>
        </w:tc>
        <w:tc>
          <w:tcPr>
            <w:tcW w:type="pct" w:w="18%"/>
            <w:tcMar>
              <w:top w:type="dxa" w:w="46"/>
              <w:left w:type="dxa" w:w="74"/>
              <w:bottom w:type="dxa" w:w="46"/>
              <w:right w:type="dxa" w:w="74"/>
            </w:tcMar>
          </w:tcPr>
          <w:p>
            <w:r>
              <w:rPr>
                <w:b w:val="false"/>
                <w:bCs w:val="false"/>
                <w:sz w:val="15"/>
                <w:szCs w:val="15"/>
              </w:rPr>
              <w:t xml:space="preserve">1.052</w:t>
            </w:r>
          </w:p>
        </w:tc>
        <w:tc>
          <w:tcPr>
            <w:tcW w:type="pct" w:w="48%"/>
            <w:tcMar>
              <w:top w:type="dxa" w:w="46"/>
              <w:left w:type="dxa" w:w="74"/>
              <w:bottom w:type="dxa" w:w="46"/>
              <w:right w:type="dxa" w:w="74"/>
            </w:tcMar>
          </w:tcPr>
          <w:p>
            <w:r>
              <w:rPr>
                <w:b w:val="false"/>
                <w:bCs w:val="false"/>
                <w:sz w:val="15"/>
                <w:szCs w:val="15"/>
              </w:rPr>
              <w:t xml:space="preserve">+5.2%</w:t>
            </w:r>
          </w:p>
        </w:tc>
      </w:tr>
      <w:tr>
        <w:trPr>
          <w:tblHeader w:val="false"/>
        </w:trPr>
        <w:tc>
          <w:tcPr>
            <w:tcW w:type="pct" w:w="34%"/>
            <w:tcMar>
              <w:top w:type="dxa" w:w="46"/>
              <w:left w:type="dxa" w:w="74"/>
              <w:bottom w:type="dxa" w:w="46"/>
              <w:right w:type="dxa" w:w="74"/>
            </w:tcMar>
          </w:tcPr>
          <w:p>
            <w:r>
              <w:rPr>
                <w:b w:val="false"/>
                <w:bCs w:val="false"/>
                <w:sz w:val="15"/>
                <w:szCs w:val="15"/>
              </w:rPr>
              <w:t xml:space="preserve">PTMT / faucets</w:t>
            </w:r>
          </w:p>
        </w:tc>
        <w:tc>
          <w:tcPr>
            <w:tcW w:type="pct" w:w="18%"/>
            <w:tcMar>
              <w:top w:type="dxa" w:w="46"/>
              <w:left w:type="dxa" w:w="74"/>
              <w:bottom w:type="dxa" w:w="46"/>
              <w:right w:type="dxa" w:w="74"/>
            </w:tcMar>
          </w:tcPr>
          <w:p>
            <w:r>
              <w:rPr>
                <w:b w:val="false"/>
                <w:bCs w:val="false"/>
                <w:sz w:val="15"/>
                <w:szCs w:val="15"/>
              </w:rPr>
              <w:t xml:space="preserve">1.047</w:t>
            </w:r>
          </w:p>
        </w:tc>
        <w:tc>
          <w:tcPr>
            <w:tcW w:type="pct" w:w="48%"/>
            <w:tcMar>
              <w:top w:type="dxa" w:w="46"/>
              <w:left w:type="dxa" w:w="74"/>
              <w:bottom w:type="dxa" w:w="46"/>
              <w:right w:type="dxa" w:w="74"/>
            </w:tcMar>
          </w:tcPr>
          <w:p>
            <w:r>
              <w:rPr>
                <w:b w:val="false"/>
                <w:bCs w:val="false"/>
                <w:sz w:val="15"/>
                <w:szCs w:val="15"/>
              </w:rPr>
              <w:t xml:space="preserve">+4.7%</w:t>
            </w:r>
          </w:p>
        </w:tc>
      </w:tr>
      <w:tr>
        <w:trPr>
          <w:tblHeader w:val="false"/>
        </w:trPr>
        <w:tc>
          <w:tcPr>
            <w:tcW w:type="pct" w:w="34%"/>
            <w:tcMar>
              <w:top w:type="dxa" w:w="46"/>
              <w:left w:type="dxa" w:w="74"/>
              <w:bottom w:type="dxa" w:w="46"/>
              <w:right w:type="dxa" w:w="74"/>
            </w:tcMar>
          </w:tcPr>
          <w:p>
            <w:r>
              <w:rPr>
                <w:b w:val="false"/>
                <w:bCs w:val="false"/>
                <w:sz w:val="15"/>
                <w:szCs w:val="15"/>
              </w:rPr>
              <w:t xml:space="preserve">CPVC</w:t>
            </w:r>
          </w:p>
        </w:tc>
        <w:tc>
          <w:tcPr>
            <w:tcW w:type="pct" w:w="18%"/>
            <w:tcMar>
              <w:top w:type="dxa" w:w="46"/>
              <w:left w:type="dxa" w:w="74"/>
              <w:bottom w:type="dxa" w:w="46"/>
              <w:right w:type="dxa" w:w="74"/>
            </w:tcMar>
          </w:tcPr>
          <w:p>
            <w:r>
              <w:rPr>
                <w:b w:val="false"/>
                <w:bCs w:val="false"/>
                <w:sz w:val="15"/>
                <w:szCs w:val="15"/>
              </w:rPr>
              <w:t xml:space="preserve">1.007</w:t>
            </w:r>
          </w:p>
        </w:tc>
        <w:tc>
          <w:tcPr>
            <w:tcW w:type="pct" w:w="48%"/>
            <w:tcMar>
              <w:top w:type="dxa" w:w="46"/>
              <w:left w:type="dxa" w:w="74"/>
              <w:bottom w:type="dxa" w:w="46"/>
              <w:right w:type="dxa" w:w="74"/>
            </w:tcMar>
          </w:tcPr>
          <w:p>
            <w:r>
              <w:rPr>
                <w:b w:val="false"/>
                <w:bCs w:val="false"/>
                <w:sz w:val="15"/>
                <w:szCs w:val="15"/>
              </w:rPr>
              <w:t xml:space="preserve">+0.7%</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EEF5F5" w:color="auto" w:val="clear"/>
            <w:tcMar>
              <w:top w:type="dxa" w:w="46"/>
              <w:left w:type="dxa" w:w="74"/>
              <w:bottom w:type="dxa" w:w="46"/>
              <w:right w:type="dxa" w:w="74"/>
            </w:tcMar>
          </w:tcPr>
          <w:p>
            <w:r>
              <w:rPr>
                <w:b/>
                <w:bCs/>
                <w:sz w:val="15"/>
                <w:szCs w:val="15"/>
              </w:rPr>
              <w:t xml:space="preserve">#</w:t>
            </w:r>
          </w:p>
        </w:tc>
        <w:tc>
          <w:tcPr>
            <w:tcW w:type="pct" w:w="24%"/>
            <w:shd w:fill="EEF5F5" w:color="auto" w:val="clear"/>
            <w:tcMar>
              <w:top w:type="dxa" w:w="46"/>
              <w:left w:type="dxa" w:w="74"/>
              <w:bottom w:type="dxa" w:w="46"/>
              <w:right w:type="dxa" w:w="74"/>
            </w:tcMar>
          </w:tcPr>
          <w:p>
            <w:r>
              <w:rPr>
                <w:b/>
                <w:bCs/>
                <w:sz w:val="15"/>
                <w:szCs w:val="15"/>
              </w:rPr>
              <w:t xml:space="preserve">Warning</w:t>
            </w:r>
          </w:p>
        </w:tc>
        <w:tc>
          <w:tcPr>
            <w:tcW w:type="pct" w:w="26%"/>
            <w:shd w:fill="EEF5F5" w:color="auto" w:val="clear"/>
            <w:tcMar>
              <w:top w:type="dxa" w:w="46"/>
              <w:left w:type="dxa" w:w="74"/>
              <w:bottom w:type="dxa" w:w="46"/>
              <w:right w:type="dxa" w:w="74"/>
            </w:tcMar>
          </w:tcPr>
          <w:p>
            <w:r>
              <w:rPr>
                <w:b/>
                <w:bCs/>
                <w:sz w:val="15"/>
                <w:szCs w:val="15"/>
              </w:rPr>
              <w:t xml:space="preserve">Trigger</w:t>
            </w:r>
          </w:p>
        </w:tc>
        <w:tc>
          <w:tcPr>
            <w:tcW w:type="pct" w:w="44%"/>
            <w:shd w:fill="EEF5F5" w:color="auto" w:val="clear"/>
            <w:tcMar>
              <w:top w:type="dxa" w:w="46"/>
              <w:left w:type="dxa" w:w="74"/>
              <w:bottom w:type="dxa" w:w="46"/>
              <w:right w:type="dxa" w:w="74"/>
            </w:tcMar>
          </w:tcPr>
          <w:p>
            <w:r>
              <w:rPr>
                <w:b/>
                <w:bCs/>
                <w:sz w:val="15"/>
                <w:szCs w:val="15"/>
              </w:rPr>
              <w:t xml:space="preserve">Suggested action</w:t>
            </w:r>
          </w:p>
        </w:tc>
      </w:tr>
      <w:tr>
        <w:trPr>
          <w:tblHeader w:val="false"/>
        </w:trPr>
        <w:tc>
          <w:tcPr>
            <w:tcW w:type="pct" w:w="6%"/>
            <w:tcMar>
              <w:top w:type="dxa" w:w="46"/>
              <w:left w:type="dxa" w:w="74"/>
              <w:bottom w:type="dxa" w:w="46"/>
              <w:right w:type="dxa" w:w="74"/>
            </w:tcMar>
          </w:tcPr>
          <w:p>
            <w:r>
              <w:rPr>
                <w:b w:val="false"/>
                <w:bCs w:val="false"/>
                <w:sz w:val="15"/>
                <w:szCs w:val="15"/>
              </w:rPr>
              <w:t xml:space="preserve">B1</w:t>
            </w:r>
          </w:p>
        </w:tc>
        <w:tc>
          <w:tcPr>
            <w:tcW w:type="pct" w:w="24%"/>
            <w:tcMar>
              <w:top w:type="dxa" w:w="46"/>
              <w:left w:type="dxa" w:w="74"/>
              <w:bottom w:type="dxa" w:w="46"/>
              <w:right w:type="dxa" w:w="74"/>
            </w:tcMar>
          </w:tcPr>
          <w:p>
            <w:r>
              <w:rPr>
                <w:b w:val="false"/>
                <w:bCs w:val="false"/>
                <w:sz w:val="15"/>
                <w:szCs w:val="15"/>
              </w:rPr>
              <w:t xml:space="preserve">Real-terms decline</w:t>
            </w:r>
          </w:p>
        </w:tc>
        <w:tc>
          <w:tcPr>
            <w:tcW w:type="pct" w:w="26%"/>
            <w:tcMar>
              <w:top w:type="dxa" w:w="46"/>
              <w:left w:type="dxa" w:w="74"/>
              <w:bottom w:type="dxa" w:w="46"/>
              <w:right w:type="dxa" w:w="74"/>
            </w:tcMar>
          </w:tcPr>
          <w:p>
            <w:r>
              <w:rPr>
                <w:b w:val="false"/>
                <w:bCs w:val="false"/>
                <w:sz w:val="15"/>
                <w:szCs w:val="15"/>
              </w:rPr>
              <w:t xml:space="preserve">nominal growth below the segment price effect</w:t>
            </w:r>
          </w:p>
        </w:tc>
        <w:tc>
          <w:tcPr>
            <w:tcW w:type="pct" w:w="44%"/>
            <w:tcMar>
              <w:top w:type="dxa" w:w="46"/>
              <w:left w:type="dxa" w:w="74"/>
              <w:bottom w:type="dxa" w:w="46"/>
              <w:right w:type="dxa" w:w="74"/>
            </w:tcMar>
          </w:tcPr>
          <w:p>
            <w:r>
              <w:rPr>
                <w:b w:val="false"/>
                <w:bCs w:val="false"/>
                <w:sz w:val="15"/>
                <w:szCs w:val="15"/>
              </w:rPr>
              <w:t xml:space="preserve">Report growth in real terms beside nominal - a tank business up 10% is DOWN 8% in real terms</w:t>
            </w:r>
          </w:p>
        </w:tc>
      </w:tr>
      <w:tr>
        <w:trPr>
          <w:tblHeader w:val="false"/>
        </w:trPr>
        <w:tc>
          <w:tcPr>
            <w:tcW w:type="pct" w:w="6%"/>
            <w:tcMar>
              <w:top w:type="dxa" w:w="46"/>
              <w:left w:type="dxa" w:w="74"/>
              <w:bottom w:type="dxa" w:w="46"/>
              <w:right w:type="dxa" w:w="74"/>
            </w:tcMar>
          </w:tcPr>
          <w:p>
            <w:r>
              <w:rPr>
                <w:b w:val="false"/>
                <w:bCs w:val="false"/>
                <w:sz w:val="15"/>
                <w:szCs w:val="15"/>
              </w:rPr>
              <w:t xml:space="preserve">B2</w:t>
            </w:r>
          </w:p>
        </w:tc>
        <w:tc>
          <w:tcPr>
            <w:tcW w:type="pct" w:w="24%"/>
            <w:tcMar>
              <w:top w:type="dxa" w:w="46"/>
              <w:left w:type="dxa" w:w="74"/>
              <w:bottom w:type="dxa" w:w="46"/>
              <w:right w:type="dxa" w:w="74"/>
            </w:tcMar>
          </w:tcPr>
          <w:p>
            <w:r>
              <w:rPr>
                <w:b w:val="false"/>
                <w:bCs w:val="false"/>
                <w:sz w:val="15"/>
                <w:szCs w:val="15"/>
              </w:rPr>
              <w:t xml:space="preserve">Volume falling behind value</w:t>
            </w:r>
          </w:p>
        </w:tc>
        <w:tc>
          <w:tcPr>
            <w:tcW w:type="pct" w:w="26%"/>
            <w:tcMar>
              <w:top w:type="dxa" w:w="46"/>
              <w:left w:type="dxa" w:w="74"/>
              <w:bottom w:type="dxa" w:w="46"/>
              <w:right w:type="dxa" w:w="74"/>
            </w:tcMar>
          </w:tcPr>
          <w:p>
            <w:r>
              <w:rPr>
                <w:b w:val="false"/>
                <w:bCs w:val="false"/>
                <w:sz w:val="15"/>
                <w:szCs w:val="15"/>
              </w:rPr>
              <w:t xml:space="preserve">quantity down while value up</w:t>
            </w:r>
          </w:p>
        </w:tc>
        <w:tc>
          <w:tcPr>
            <w:tcW w:type="pct" w:w="44%"/>
            <w:tcMar>
              <w:top w:type="dxa" w:w="46"/>
              <w:left w:type="dxa" w:w="74"/>
              <w:bottom w:type="dxa" w:w="46"/>
              <w:right w:type="dxa" w:w="74"/>
            </w:tcMar>
          </w:tcPr>
          <w:p>
            <w:r>
              <w:rPr>
                <w:b w:val="false"/>
                <w:bCs w:val="false"/>
                <w:sz w:val="15"/>
                <w:szCs w:val="15"/>
              </w:rPr>
              <w:t xml:space="preserve">Revenue is being carried by price, not demand. Check units, not rupees</w:t>
            </w:r>
          </w:p>
        </w:tc>
      </w:tr>
      <w:tr>
        <w:trPr>
          <w:tblHeader w:val="false"/>
        </w:trPr>
        <w:tc>
          <w:tcPr>
            <w:tcW w:type="pct" w:w="6%"/>
            <w:tcMar>
              <w:top w:type="dxa" w:w="46"/>
              <w:left w:type="dxa" w:w="74"/>
              <w:bottom w:type="dxa" w:w="46"/>
              <w:right w:type="dxa" w:w="74"/>
            </w:tcMar>
          </w:tcPr>
          <w:p>
            <w:r>
              <w:rPr>
                <w:b w:val="false"/>
                <w:bCs w:val="false"/>
                <w:sz w:val="15"/>
                <w:szCs w:val="15"/>
              </w:rPr>
              <w:t xml:space="preserve">B3</w:t>
            </w:r>
          </w:p>
        </w:tc>
        <w:tc>
          <w:tcPr>
            <w:tcW w:type="pct" w:w="24%"/>
            <w:tcMar>
              <w:top w:type="dxa" w:w="46"/>
              <w:left w:type="dxa" w:w="74"/>
              <w:bottom w:type="dxa" w:w="46"/>
              <w:right w:type="dxa" w:w="74"/>
            </w:tcMar>
          </w:tcPr>
          <w:p>
            <w:r>
              <w:rPr>
                <w:b w:val="false"/>
                <w:bCs w:val="false"/>
                <w:sz w:val="15"/>
                <w:szCs w:val="15"/>
              </w:rPr>
              <w:t xml:space="preserve">Realised price eroding</w:t>
            </w:r>
          </w:p>
        </w:tc>
        <w:tc>
          <w:tcPr>
            <w:tcW w:type="pct" w:w="26%"/>
            <w:tcMar>
              <w:top w:type="dxa" w:w="46"/>
              <w:left w:type="dxa" w:w="74"/>
              <w:bottom w:type="dxa" w:w="46"/>
              <w:right w:type="dxa" w:w="74"/>
            </w:tcMar>
          </w:tcPr>
          <w:p>
            <w:r>
              <w:rPr>
                <w:b w:val="false"/>
                <w:bCs w:val="false"/>
                <w:sz w:val="15"/>
                <w:szCs w:val="15"/>
              </w:rPr>
              <w:t xml:space="preserve">customer realised price falling while the index rises</w:t>
            </w:r>
          </w:p>
        </w:tc>
        <w:tc>
          <w:tcPr>
            <w:tcW w:type="pct" w:w="44%"/>
            <w:tcMar>
              <w:top w:type="dxa" w:w="46"/>
              <w:left w:type="dxa" w:w="74"/>
              <w:bottom w:type="dxa" w:w="46"/>
              <w:right w:type="dxa" w:w="74"/>
            </w:tcMar>
          </w:tcPr>
          <w:p>
            <w:r>
              <w:rPr>
                <w:b w:val="false"/>
                <w:bCs w:val="false"/>
                <w:sz w:val="15"/>
                <w:szCs w:val="15"/>
              </w:rPr>
              <w:t xml:space="preserve">Discount leakage or mix shift to cheaper lines - check which before acting</w:t>
            </w:r>
          </w:p>
        </w:tc>
      </w:tr>
    </w:tbl>
    <w:p>
      <w:pPr>
        <w:pBdr>
          <w:top w:val="single" w:color="E0B4A8" w:sz="6" w:space="6"/>
          <w:bottom w:val="single" w:color="E0B4A8" w:sz="6" w:space="6"/>
          <w:left w:val="single" w:color="E0B4A8" w:sz="6" w:space="6"/>
          <w:right w:val="single" w:color="E0B4A8" w:sz="6" w:space="6"/>
        </w:pBdr>
        <w:shd w:fill="FBE9E7" w:color="auto" w:val="clear"/>
        <w:spacing w:after="120"/>
      </w:pPr>
      <w:r>
        <w:t xml:space="preserve">B1 and B3 use DIFFERENT formulas and must never be shown as if comparable. The company multiplier is a Laspeyres index with the prior-year basket fixed, so mix is removed. Customer-level realised price change is (value/quantity) this year over last, so mix is INCLUDED. A customer shifting to cheaper items shows a falling realised price while every individual price rose.</w:t>
      </w:r>
    </w:p>
    <w:p>
      <w:pPr>
        <w:pStyle w:val="Heading2"/>
        <w:spacing w:after="65" w:before="180"/>
      </w:pPr>
      <w:r>
        <w:rPr>
          <w:b/>
          <w:bCs/>
        </w:rPr>
        <w:t xml:space="preserve">C. Effort and speed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EEF5F5" w:color="auto" w:val="clear"/>
            <w:tcMar>
              <w:top w:type="dxa" w:w="46"/>
              <w:left w:type="dxa" w:w="74"/>
              <w:bottom w:type="dxa" w:w="46"/>
              <w:right w:type="dxa" w:w="74"/>
            </w:tcMar>
          </w:tcPr>
          <w:p>
            <w:r>
              <w:rPr>
                <w:b/>
                <w:bCs/>
                <w:sz w:val="15"/>
                <w:szCs w:val="15"/>
              </w:rPr>
              <w:t xml:space="preserve">#</w:t>
            </w:r>
          </w:p>
        </w:tc>
        <w:tc>
          <w:tcPr>
            <w:tcW w:type="pct" w:w="26%"/>
            <w:shd w:fill="EEF5F5" w:color="auto" w:val="clear"/>
            <w:tcMar>
              <w:top w:type="dxa" w:w="46"/>
              <w:left w:type="dxa" w:w="74"/>
              <w:bottom w:type="dxa" w:w="46"/>
              <w:right w:type="dxa" w:w="74"/>
            </w:tcMar>
          </w:tcPr>
          <w:p>
            <w:r>
              <w:rPr>
                <w:b/>
                <w:bCs/>
                <w:sz w:val="15"/>
                <w:szCs w:val="15"/>
              </w:rPr>
              <w:t xml:space="preserve">Warning</w:t>
            </w:r>
          </w:p>
        </w:tc>
        <w:tc>
          <w:tcPr>
            <w:tcW w:type="pct" w:w="28%"/>
            <w:shd w:fill="EEF5F5" w:color="auto" w:val="clear"/>
            <w:tcMar>
              <w:top w:type="dxa" w:w="46"/>
              <w:left w:type="dxa" w:w="74"/>
              <w:bottom w:type="dxa" w:w="46"/>
              <w:right w:type="dxa" w:w="74"/>
            </w:tcMar>
          </w:tcPr>
          <w:p>
            <w:r>
              <w:rPr>
                <w:b/>
                <w:bCs/>
                <w:sz w:val="15"/>
                <w:szCs w:val="15"/>
              </w:rPr>
              <w:t xml:space="preserve">Trigger</w:t>
            </w:r>
          </w:p>
        </w:tc>
        <w:tc>
          <w:tcPr>
            <w:tcW w:type="pct" w:w="40%"/>
            <w:shd w:fill="EEF5F5" w:color="auto" w:val="clear"/>
            <w:tcMar>
              <w:top w:type="dxa" w:w="46"/>
              <w:left w:type="dxa" w:w="74"/>
              <w:bottom w:type="dxa" w:w="46"/>
              <w:right w:type="dxa" w:w="74"/>
            </w:tcMar>
          </w:tcPr>
          <w:p>
            <w:r>
              <w:rPr>
                <w:b/>
                <w:bCs/>
                <w:sz w:val="15"/>
                <w:szCs w:val="15"/>
              </w:rPr>
              <w:t xml:space="preserve">Suggested action</w:t>
            </w:r>
          </w:p>
        </w:tc>
      </w:tr>
      <w:tr>
        <w:trPr>
          <w:tblHeader w:val="false"/>
        </w:trPr>
        <w:tc>
          <w:tcPr>
            <w:tcW w:type="pct" w:w="6%"/>
            <w:tcMar>
              <w:top w:type="dxa" w:w="46"/>
              <w:left w:type="dxa" w:w="74"/>
              <w:bottom w:type="dxa" w:w="46"/>
              <w:right w:type="dxa" w:w="74"/>
            </w:tcMar>
          </w:tcPr>
          <w:p>
            <w:r>
              <w:rPr>
                <w:b w:val="false"/>
                <w:bCs w:val="false"/>
                <w:sz w:val="15"/>
                <w:szCs w:val="15"/>
              </w:rPr>
              <w:t xml:space="preserve">C1</w:t>
            </w:r>
          </w:p>
        </w:tc>
        <w:tc>
          <w:tcPr>
            <w:tcW w:type="pct" w:w="26%"/>
            <w:tcMar>
              <w:top w:type="dxa" w:w="46"/>
              <w:left w:type="dxa" w:w="74"/>
              <w:bottom w:type="dxa" w:w="46"/>
              <w:right w:type="dxa" w:w="74"/>
            </w:tcMar>
          </w:tcPr>
          <w:p>
            <w:r>
              <w:rPr>
                <w:b w:val="false"/>
                <w:bCs w:val="false"/>
                <w:sz w:val="15"/>
                <w:szCs w:val="15"/>
              </w:rPr>
              <w:t xml:space="preserve">Visit pace behind</w:t>
            </w:r>
          </w:p>
        </w:tc>
        <w:tc>
          <w:tcPr>
            <w:tcW w:type="pct" w:w="28%"/>
            <w:tcMar>
              <w:top w:type="dxa" w:w="46"/>
              <w:left w:type="dxa" w:w="74"/>
              <w:bottom w:type="dxa" w:w="46"/>
              <w:right w:type="dxa" w:w="74"/>
            </w:tcMar>
          </w:tcPr>
          <w:p>
            <w:r>
              <w:rPr>
                <w:b w:val="false"/>
                <w:bCs w:val="false"/>
                <w:sz w:val="15"/>
                <w:szCs w:val="15"/>
              </w:rPr>
              <w:t xml:space="preserve">pace ratio below threshold</w:t>
            </w:r>
          </w:p>
        </w:tc>
        <w:tc>
          <w:tcPr>
            <w:tcW w:type="pct" w:w="40%"/>
            <w:tcMar>
              <w:top w:type="dxa" w:w="46"/>
              <w:left w:type="dxa" w:w="74"/>
              <w:bottom w:type="dxa" w:w="46"/>
              <w:right w:type="dxa" w:w="74"/>
            </w:tcMar>
          </w:tcPr>
          <w:p>
            <w:r>
              <w:rPr>
                <w:b w:val="false"/>
                <w:bCs w:val="false"/>
                <w:sz w:val="15"/>
                <w:szCs w:val="15"/>
              </w:rPr>
              <w:t xml:space="preserve">Compare against demonstrated capacity from a complete year before raising cadence</w:t>
            </w:r>
          </w:p>
        </w:tc>
      </w:tr>
      <w:tr>
        <w:trPr>
          <w:tblHeader w:val="false"/>
        </w:trPr>
        <w:tc>
          <w:tcPr>
            <w:tcW w:type="pct" w:w="6%"/>
            <w:tcMar>
              <w:top w:type="dxa" w:w="46"/>
              <w:left w:type="dxa" w:w="74"/>
              <w:bottom w:type="dxa" w:w="46"/>
              <w:right w:type="dxa" w:w="74"/>
            </w:tcMar>
          </w:tcPr>
          <w:p>
            <w:r>
              <w:rPr>
                <w:b w:val="false"/>
                <w:bCs w:val="false"/>
                <w:sz w:val="15"/>
                <w:szCs w:val="15"/>
              </w:rPr>
              <w:t xml:space="preserve">C2</w:t>
            </w:r>
          </w:p>
        </w:tc>
        <w:tc>
          <w:tcPr>
            <w:tcW w:type="pct" w:w="26%"/>
            <w:tcMar>
              <w:top w:type="dxa" w:w="46"/>
              <w:left w:type="dxa" w:w="74"/>
              <w:bottom w:type="dxa" w:w="46"/>
              <w:right w:type="dxa" w:w="74"/>
            </w:tcMar>
          </w:tcPr>
          <w:p>
            <w:r>
              <w:rPr>
                <w:b w:val="false"/>
                <w:bCs w:val="false"/>
                <w:sz w:val="15"/>
                <w:szCs w:val="15"/>
              </w:rPr>
              <w:t xml:space="preserve">Visit productivity falling</w:t>
            </w:r>
          </w:p>
        </w:tc>
        <w:tc>
          <w:tcPr>
            <w:tcW w:type="pct" w:w="28%"/>
            <w:tcMar>
              <w:top w:type="dxa" w:w="46"/>
              <w:left w:type="dxa" w:w="74"/>
              <w:bottom w:type="dxa" w:w="46"/>
              <w:right w:type="dxa" w:w="74"/>
            </w:tcMar>
          </w:tcPr>
          <w:p>
            <w:r>
              <w:rPr>
                <w:b w:val="false"/>
                <w:bCs w:val="false"/>
                <w:sz w:val="15"/>
                <w:szCs w:val="15"/>
              </w:rPr>
              <w:t xml:space="preserve">business per visit declining</w:t>
            </w:r>
          </w:p>
        </w:tc>
        <w:tc>
          <w:tcPr>
            <w:tcW w:type="pct" w:w="40%"/>
            <w:tcMar>
              <w:top w:type="dxa" w:w="46"/>
              <w:left w:type="dxa" w:w="74"/>
              <w:bottom w:type="dxa" w:w="46"/>
              <w:right w:type="dxa" w:w="74"/>
            </w:tcMar>
          </w:tcPr>
          <w:p>
            <w:r>
              <w:rPr>
                <w:b w:val="false"/>
                <w:bCs w:val="false"/>
                <w:sz w:val="15"/>
                <w:szCs w:val="15"/>
              </w:rPr>
              <w:t xml:space="preserve">Look at which customer state the visits are going to</w:t>
            </w:r>
          </w:p>
        </w:tc>
      </w:tr>
      <w:tr>
        <w:trPr>
          <w:tblHeader w:val="false"/>
        </w:trPr>
        <w:tc>
          <w:tcPr>
            <w:tcW w:type="pct" w:w="6%"/>
            <w:tcMar>
              <w:top w:type="dxa" w:w="46"/>
              <w:left w:type="dxa" w:w="74"/>
              <w:bottom w:type="dxa" w:w="46"/>
              <w:right w:type="dxa" w:w="74"/>
            </w:tcMar>
          </w:tcPr>
          <w:p>
            <w:r>
              <w:rPr>
                <w:b w:val="false"/>
                <w:bCs w:val="false"/>
                <w:sz w:val="15"/>
                <w:szCs w:val="15"/>
              </w:rPr>
              <w:t xml:space="preserve">C3</w:t>
            </w:r>
          </w:p>
        </w:tc>
        <w:tc>
          <w:tcPr>
            <w:tcW w:type="pct" w:w="26%"/>
            <w:tcMar>
              <w:top w:type="dxa" w:w="46"/>
              <w:left w:type="dxa" w:w="74"/>
              <w:bottom w:type="dxa" w:w="46"/>
              <w:right w:type="dxa" w:w="74"/>
            </w:tcMar>
          </w:tcPr>
          <w:p>
            <w:r>
              <w:rPr>
                <w:b w:val="false"/>
                <w:bCs w:val="false"/>
                <w:sz w:val="15"/>
                <w:szCs w:val="15"/>
              </w:rPr>
              <w:t xml:space="preserve">Visits converting nothing</w:t>
            </w:r>
          </w:p>
        </w:tc>
        <w:tc>
          <w:tcPr>
            <w:tcW w:type="pct" w:w="28%"/>
            <w:tcMar>
              <w:top w:type="dxa" w:w="46"/>
              <w:left w:type="dxa" w:w="74"/>
              <w:bottom w:type="dxa" w:w="46"/>
              <w:right w:type="dxa" w:w="74"/>
            </w:tcMar>
          </w:tcPr>
          <w:p>
            <w:r>
              <w:rPr>
                <w:b w:val="false"/>
                <w:bCs w:val="false"/>
                <w:sz w:val="15"/>
                <w:szCs w:val="15"/>
              </w:rPr>
              <w:t xml:space="preserve">visited with no order, count and share</w:t>
            </w:r>
          </w:p>
        </w:tc>
        <w:tc>
          <w:tcPr>
            <w:tcW w:type="pct" w:w="40%"/>
            <w:tcMar>
              <w:top w:type="dxa" w:w="46"/>
              <w:left w:type="dxa" w:w="74"/>
              <w:bottom w:type="dxa" w:w="46"/>
              <w:right w:type="dxa" w:w="74"/>
            </w:tcMar>
          </w:tcPr>
          <w:p>
            <w:r>
              <w:rPr>
                <w:b w:val="false"/>
                <w:bCs w:val="false"/>
                <w:sz w:val="15"/>
                <w:szCs w:val="15"/>
              </w:rPr>
              <w:t xml:space="preserve">Cap repeat visits to non-converting accounts and redirect</w:t>
            </w:r>
          </w:p>
        </w:tc>
      </w:tr>
      <w:tr>
        <w:trPr>
          <w:tblHeader w:val="false"/>
        </w:trPr>
        <w:tc>
          <w:tcPr>
            <w:tcW w:type="pct" w:w="6%"/>
            <w:tcMar>
              <w:top w:type="dxa" w:w="46"/>
              <w:left w:type="dxa" w:w="74"/>
              <w:bottom w:type="dxa" w:w="46"/>
              <w:right w:type="dxa" w:w="74"/>
            </w:tcMar>
          </w:tcPr>
          <w:p>
            <w:r>
              <w:rPr>
                <w:b w:val="false"/>
                <w:bCs w:val="false"/>
                <w:sz w:val="15"/>
                <w:szCs w:val="15"/>
              </w:rPr>
              <w:t xml:space="preserve">C4</w:t>
            </w:r>
          </w:p>
        </w:tc>
        <w:tc>
          <w:tcPr>
            <w:tcW w:type="pct" w:w="26%"/>
            <w:tcMar>
              <w:top w:type="dxa" w:w="46"/>
              <w:left w:type="dxa" w:w="74"/>
              <w:bottom w:type="dxa" w:w="46"/>
              <w:right w:type="dxa" w:w="74"/>
            </w:tcMar>
          </w:tcPr>
          <w:p>
            <w:r>
              <w:rPr>
                <w:b w:val="false"/>
                <w:bCs w:val="false"/>
                <w:sz w:val="15"/>
                <w:szCs w:val="15"/>
              </w:rPr>
              <w:t xml:space="preserve">Order recency slipping</w:t>
            </w:r>
          </w:p>
        </w:tc>
        <w:tc>
          <w:tcPr>
            <w:tcW w:type="pct" w:w="28%"/>
            <w:tcMar>
              <w:top w:type="dxa" w:w="46"/>
              <w:left w:type="dxa" w:w="74"/>
              <w:bottom w:type="dxa" w:w="46"/>
              <w:right w:type="dxa" w:w="74"/>
            </w:tcMar>
          </w:tcPr>
          <w:p>
            <w:r>
              <w:rPr>
                <w:b w:val="false"/>
                <w:bCs w:val="false"/>
                <w:sz w:val="15"/>
                <w:szCs w:val="15"/>
              </w:rPr>
              <w:t xml:space="preserve">days since last order, by retailer or distributor</w:t>
            </w:r>
          </w:p>
        </w:tc>
        <w:tc>
          <w:tcPr>
            <w:tcW w:type="pct" w:w="40%"/>
            <w:tcMar>
              <w:top w:type="dxa" w:w="46"/>
              <w:left w:type="dxa" w:w="74"/>
              <w:bottom w:type="dxa" w:w="46"/>
              <w:right w:type="dxa" w:w="74"/>
            </w:tcMar>
          </w:tcPr>
          <w:p>
            <w:r>
              <w:rPr>
                <w:b w:val="false"/>
                <w:bCs w:val="false"/>
                <w:sz w:val="15"/>
                <w:szCs w:val="15"/>
              </w:rPr>
              <w:t xml:space="preserve">Earliest warning available - it moves months before annual totals</w:t>
            </w:r>
          </w:p>
        </w:tc>
      </w:tr>
      <w:tr>
        <w:trPr>
          <w:tblHeader w:val="false"/>
        </w:trPr>
        <w:tc>
          <w:tcPr>
            <w:tcW w:type="pct" w:w="6%"/>
            <w:tcMar>
              <w:top w:type="dxa" w:w="46"/>
              <w:left w:type="dxa" w:w="74"/>
              <w:bottom w:type="dxa" w:w="46"/>
              <w:right w:type="dxa" w:w="74"/>
            </w:tcMar>
          </w:tcPr>
          <w:p>
            <w:r>
              <w:rPr>
                <w:b w:val="false"/>
                <w:bCs w:val="false"/>
                <w:sz w:val="15"/>
                <w:szCs w:val="15"/>
              </w:rPr>
              <w:t xml:space="preserve">C5</w:t>
            </w:r>
          </w:p>
        </w:tc>
        <w:tc>
          <w:tcPr>
            <w:tcW w:type="pct" w:w="26%"/>
            <w:tcMar>
              <w:top w:type="dxa" w:w="46"/>
              <w:left w:type="dxa" w:w="74"/>
              <w:bottom w:type="dxa" w:w="46"/>
              <w:right w:type="dxa" w:w="74"/>
            </w:tcMar>
          </w:tcPr>
          <w:p>
            <w:r>
              <w:rPr>
                <w:b w:val="false"/>
                <w:bCs w:val="false"/>
                <w:sz w:val="15"/>
                <w:szCs w:val="15"/>
              </w:rPr>
              <w:t xml:space="preserve">Order frequency dropping</w:t>
            </w:r>
          </w:p>
        </w:tc>
        <w:tc>
          <w:tcPr>
            <w:tcW w:type="pct" w:w="28%"/>
            <w:tcMar>
              <w:top w:type="dxa" w:w="46"/>
              <w:left w:type="dxa" w:w="74"/>
              <w:bottom w:type="dxa" w:w="46"/>
              <w:right w:type="dxa" w:w="74"/>
            </w:tcMar>
          </w:tcPr>
          <w:p>
            <w:r>
              <w:rPr>
                <w:b w:val="false"/>
                <w:bCs w:val="false"/>
                <w:sz w:val="15"/>
                <w:szCs w:val="15"/>
              </w:rPr>
              <w:t xml:space="preserve">orders per month against own history</w:t>
            </w:r>
          </w:p>
        </w:tc>
        <w:tc>
          <w:tcPr>
            <w:tcW w:type="pct" w:w="40%"/>
            <w:tcMar>
              <w:top w:type="dxa" w:w="46"/>
              <w:left w:type="dxa" w:w="74"/>
              <w:bottom w:type="dxa" w:w="46"/>
              <w:right w:type="dxa" w:w="74"/>
            </w:tcMar>
          </w:tcPr>
          <w:p>
            <w:r>
              <w:rPr>
                <w:b w:val="false"/>
                <w:bCs w:val="false"/>
                <w:sz w:val="15"/>
                <w:szCs w:val="15"/>
              </w:rPr>
              <w:t xml:space="preserve">Check whether it is one account or the whole book</w:t>
            </w:r>
          </w:p>
        </w:tc>
      </w:tr>
    </w:tbl>
    <w:p>
      <w:pPr>
        <w:pStyle w:val="Heading2"/>
        <w:spacing w:after="65" w:before="180"/>
      </w:pPr>
      <w:r>
        <w:rPr>
          <w:b/>
          <w:bCs/>
        </w:rPr>
        <w:t xml:space="preserve">D. Supply route - the strongest signal found</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Across 854 retailers under Anant Singh: those WITH an assigned distributor are 96.0 per cent active; those WITHOUT are 5.0 per cent active. A retailer with a distributor is 19 times more likely to be ordering. 381 retailers - 45 per cent of the covered base - carry no assignment and absorbed 828 visits.</w:t>
      </w:r>
    </w:p>
    <w:p>
      <w:pPr>
        <w:spacing w:after="100"/>
      </w:pPr>
      <w:r>
        <w:t xml:space="preserve">Nineteen unassigned retailers did order, so this is a very strong relationship rather than a physical impossibility. State it as a 19-fold difference in likelihood. And state the alternative reading honestly: it is possible that '--' is written into the sheet WHEN a retailer goes dormant, which would reverse the direction of causation. The two are indistinguishable in this data and the page must say 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EEF5F5" w:color="auto" w:val="clear"/>
            <w:tcMar>
              <w:top w:type="dxa" w:w="46"/>
              <w:left w:type="dxa" w:w="74"/>
              <w:bottom w:type="dxa" w:w="46"/>
              <w:right w:type="dxa" w:w="74"/>
            </w:tcMar>
          </w:tcPr>
          <w:p>
            <w:r>
              <w:rPr>
                <w:b/>
                <w:bCs/>
                <w:sz w:val="15"/>
                <w:szCs w:val="15"/>
              </w:rPr>
              <w:t xml:space="preserve">#</w:t>
            </w:r>
          </w:p>
        </w:tc>
        <w:tc>
          <w:tcPr>
            <w:tcW w:type="pct" w:w="26%"/>
            <w:shd w:fill="EEF5F5" w:color="auto" w:val="clear"/>
            <w:tcMar>
              <w:top w:type="dxa" w:w="46"/>
              <w:left w:type="dxa" w:w="74"/>
              <w:bottom w:type="dxa" w:w="46"/>
              <w:right w:type="dxa" w:w="74"/>
            </w:tcMar>
          </w:tcPr>
          <w:p>
            <w:r>
              <w:rPr>
                <w:b/>
                <w:bCs/>
                <w:sz w:val="15"/>
                <w:szCs w:val="15"/>
              </w:rPr>
              <w:t xml:space="preserve">Warning</w:t>
            </w:r>
          </w:p>
        </w:tc>
        <w:tc>
          <w:tcPr>
            <w:tcW w:type="pct" w:w="28%"/>
            <w:shd w:fill="EEF5F5" w:color="auto" w:val="clear"/>
            <w:tcMar>
              <w:top w:type="dxa" w:w="46"/>
              <w:left w:type="dxa" w:w="74"/>
              <w:bottom w:type="dxa" w:w="46"/>
              <w:right w:type="dxa" w:w="74"/>
            </w:tcMar>
          </w:tcPr>
          <w:p>
            <w:r>
              <w:rPr>
                <w:b/>
                <w:bCs/>
                <w:sz w:val="15"/>
                <w:szCs w:val="15"/>
              </w:rPr>
              <w:t xml:space="preserve">Trigger</w:t>
            </w:r>
          </w:p>
        </w:tc>
        <w:tc>
          <w:tcPr>
            <w:tcW w:type="pct" w:w="40%"/>
            <w:shd w:fill="EEF5F5" w:color="auto" w:val="clear"/>
            <w:tcMar>
              <w:top w:type="dxa" w:w="46"/>
              <w:left w:type="dxa" w:w="74"/>
              <w:bottom w:type="dxa" w:w="46"/>
              <w:right w:type="dxa" w:w="74"/>
            </w:tcMar>
          </w:tcPr>
          <w:p>
            <w:r>
              <w:rPr>
                <w:b/>
                <w:bCs/>
                <w:sz w:val="15"/>
                <w:szCs w:val="15"/>
              </w:rPr>
              <w:t xml:space="preserve">Suggested action</w:t>
            </w:r>
          </w:p>
        </w:tc>
      </w:tr>
      <w:tr>
        <w:trPr>
          <w:tblHeader w:val="false"/>
        </w:trPr>
        <w:tc>
          <w:tcPr>
            <w:tcW w:type="pct" w:w="6%"/>
            <w:tcMar>
              <w:top w:type="dxa" w:w="46"/>
              <w:left w:type="dxa" w:w="74"/>
              <w:bottom w:type="dxa" w:w="46"/>
              <w:right w:type="dxa" w:w="74"/>
            </w:tcMar>
          </w:tcPr>
          <w:p>
            <w:r>
              <w:rPr>
                <w:b w:val="false"/>
                <w:bCs w:val="false"/>
                <w:sz w:val="15"/>
                <w:szCs w:val="15"/>
              </w:rPr>
              <w:t xml:space="preserve">D1</w:t>
            </w:r>
          </w:p>
        </w:tc>
        <w:tc>
          <w:tcPr>
            <w:tcW w:type="pct" w:w="26%"/>
            <w:tcMar>
              <w:top w:type="dxa" w:w="46"/>
              <w:left w:type="dxa" w:w="74"/>
              <w:bottom w:type="dxa" w:w="46"/>
              <w:right w:type="dxa" w:w="74"/>
            </w:tcMar>
          </w:tcPr>
          <w:p>
            <w:r>
              <w:rPr>
                <w:b w:val="false"/>
                <w:bCs w:val="false"/>
                <w:sz w:val="15"/>
                <w:szCs w:val="15"/>
              </w:rPr>
              <w:t xml:space="preserve">High unassigned share</w:t>
            </w:r>
          </w:p>
        </w:tc>
        <w:tc>
          <w:tcPr>
            <w:tcW w:type="pct" w:w="28%"/>
            <w:tcMar>
              <w:top w:type="dxa" w:w="46"/>
              <w:left w:type="dxa" w:w="74"/>
              <w:bottom w:type="dxa" w:w="46"/>
              <w:right w:type="dxa" w:w="74"/>
            </w:tcMar>
          </w:tcPr>
          <w:p>
            <w:r>
              <w:rPr>
                <w:b w:val="false"/>
                <w:bCs w:val="false"/>
                <w:sz w:val="15"/>
                <w:szCs w:val="15"/>
              </w:rPr>
              <w:t xml:space="preserve">share of retailers with no distributor</w:t>
            </w:r>
          </w:p>
        </w:tc>
        <w:tc>
          <w:tcPr>
            <w:tcW w:type="pct" w:w="40%"/>
            <w:tcMar>
              <w:top w:type="dxa" w:w="46"/>
              <w:left w:type="dxa" w:w="74"/>
              <w:bottom w:type="dxa" w:w="46"/>
              <w:right w:type="dxa" w:w="74"/>
            </w:tcMar>
          </w:tcPr>
          <w:p>
            <w:r>
              <w:rPr>
                <w:b w:val="false"/>
                <w:bCs w:val="false"/>
                <w:sz w:val="15"/>
                <w:szCs w:val="15"/>
              </w:rPr>
              <w:t xml:space="preserve">Assign them. Administrative where a distributor already covers the district</w:t>
            </w:r>
          </w:p>
        </w:tc>
      </w:tr>
      <w:tr>
        <w:trPr>
          <w:tblHeader w:val="false"/>
        </w:trPr>
        <w:tc>
          <w:tcPr>
            <w:tcW w:type="pct" w:w="6%"/>
            <w:tcMar>
              <w:top w:type="dxa" w:w="46"/>
              <w:left w:type="dxa" w:w="74"/>
              <w:bottom w:type="dxa" w:w="46"/>
              <w:right w:type="dxa" w:w="74"/>
            </w:tcMar>
          </w:tcPr>
          <w:p>
            <w:r>
              <w:rPr>
                <w:b w:val="false"/>
                <w:bCs w:val="false"/>
                <w:sz w:val="15"/>
                <w:szCs w:val="15"/>
              </w:rPr>
              <w:t xml:space="preserve">D2</w:t>
            </w:r>
          </w:p>
        </w:tc>
        <w:tc>
          <w:tcPr>
            <w:tcW w:type="pct" w:w="26%"/>
            <w:tcMar>
              <w:top w:type="dxa" w:w="46"/>
              <w:left w:type="dxa" w:w="74"/>
              <w:bottom w:type="dxa" w:w="46"/>
              <w:right w:type="dxa" w:w="74"/>
            </w:tcMar>
          </w:tcPr>
          <w:p>
            <w:r>
              <w:rPr>
                <w:b w:val="false"/>
                <w:bCs w:val="false"/>
                <w:sz w:val="15"/>
                <w:szCs w:val="15"/>
              </w:rPr>
              <w:t xml:space="preserve">Effort wasted on unassigned</w:t>
            </w:r>
          </w:p>
        </w:tc>
        <w:tc>
          <w:tcPr>
            <w:tcW w:type="pct" w:w="28%"/>
            <w:tcMar>
              <w:top w:type="dxa" w:w="46"/>
              <w:left w:type="dxa" w:w="74"/>
              <w:bottom w:type="dxa" w:w="46"/>
              <w:right w:type="dxa" w:w="74"/>
            </w:tcMar>
          </w:tcPr>
          <w:p>
            <w:r>
              <w:rPr>
                <w:b w:val="false"/>
                <w:bCs w:val="false"/>
                <w:sz w:val="15"/>
                <w:szCs w:val="15"/>
              </w:rPr>
              <w:t xml:space="preserve">visits spent on unassigned retailers</w:t>
            </w:r>
          </w:p>
        </w:tc>
        <w:tc>
          <w:tcPr>
            <w:tcW w:type="pct" w:w="40%"/>
            <w:tcMar>
              <w:top w:type="dxa" w:w="46"/>
              <w:left w:type="dxa" w:w="74"/>
              <w:bottom w:type="dxa" w:w="46"/>
              <w:right w:type="dxa" w:w="74"/>
            </w:tcMar>
          </w:tcPr>
          <w:p>
            <w:r>
              <w:rPr>
                <w:b w:val="false"/>
                <w:bCs w:val="false"/>
                <w:sz w:val="15"/>
                <w:szCs w:val="15"/>
              </w:rPr>
              <w:t xml:space="preserve">Stop scheduling them until assigned - a visit cannot convert</w:t>
            </w:r>
          </w:p>
        </w:tc>
      </w:tr>
      <w:tr>
        <w:trPr>
          <w:tblHeader w:val="false"/>
        </w:trPr>
        <w:tc>
          <w:tcPr>
            <w:tcW w:type="pct" w:w="6%"/>
            <w:tcMar>
              <w:top w:type="dxa" w:w="46"/>
              <w:left w:type="dxa" w:w="74"/>
              <w:bottom w:type="dxa" w:w="46"/>
              <w:right w:type="dxa" w:w="74"/>
            </w:tcMar>
          </w:tcPr>
          <w:p>
            <w:r>
              <w:rPr>
                <w:b w:val="false"/>
                <w:bCs w:val="false"/>
                <w:sz w:val="15"/>
                <w:szCs w:val="15"/>
              </w:rPr>
              <w:t xml:space="preserve">D3</w:t>
            </w:r>
          </w:p>
        </w:tc>
        <w:tc>
          <w:tcPr>
            <w:tcW w:type="pct" w:w="26%"/>
            <w:tcMar>
              <w:top w:type="dxa" w:w="46"/>
              <w:left w:type="dxa" w:w="74"/>
              <w:bottom w:type="dxa" w:w="46"/>
              <w:right w:type="dxa" w:w="74"/>
            </w:tcMar>
          </w:tcPr>
          <w:p>
            <w:r>
              <w:rPr>
                <w:b w:val="false"/>
                <w:bCs w:val="false"/>
                <w:sz w:val="15"/>
                <w:szCs w:val="15"/>
              </w:rPr>
              <w:t xml:space="preserve">District coverage gap</w:t>
            </w:r>
          </w:p>
        </w:tc>
        <w:tc>
          <w:tcPr>
            <w:tcW w:type="pct" w:w="28%"/>
            <w:tcMar>
              <w:top w:type="dxa" w:w="46"/>
              <w:left w:type="dxa" w:w="74"/>
              <w:bottom w:type="dxa" w:w="46"/>
              <w:right w:type="dxa" w:w="74"/>
            </w:tcMar>
          </w:tcPr>
          <w:p>
            <w:r>
              <w:rPr>
                <w:b w:val="false"/>
                <w:bCs w:val="false"/>
                <w:sz w:val="15"/>
                <w:szCs w:val="15"/>
              </w:rPr>
              <w:t xml:space="preserve">district has retailers but no distributor</w:t>
            </w:r>
          </w:p>
        </w:tc>
        <w:tc>
          <w:tcPr>
            <w:tcW w:type="pct" w:w="40%"/>
            <w:tcMar>
              <w:top w:type="dxa" w:w="46"/>
              <w:left w:type="dxa" w:w="74"/>
              <w:bottom w:type="dxa" w:w="46"/>
              <w:right w:type="dxa" w:w="74"/>
            </w:tcMar>
          </w:tcPr>
          <w:p>
            <w:r>
              <w:rPr>
                <w:b w:val="false"/>
                <w:bCs w:val="false"/>
                <w:sz w:val="15"/>
                <w:szCs w:val="15"/>
              </w:rPr>
              <w:t xml:space="preserve">Appoint. Size the gap by prior-year demand, not retailer count</w:t>
            </w:r>
          </w:p>
        </w:tc>
      </w:tr>
      <w:tr>
        <w:trPr>
          <w:tblHeader w:val="false"/>
        </w:trPr>
        <w:tc>
          <w:tcPr>
            <w:tcW w:type="pct" w:w="6%"/>
            <w:tcMar>
              <w:top w:type="dxa" w:w="46"/>
              <w:left w:type="dxa" w:w="74"/>
              <w:bottom w:type="dxa" w:w="46"/>
              <w:right w:type="dxa" w:w="74"/>
            </w:tcMar>
          </w:tcPr>
          <w:p>
            <w:r>
              <w:rPr>
                <w:b w:val="false"/>
                <w:bCs w:val="false"/>
                <w:sz w:val="15"/>
                <w:szCs w:val="15"/>
              </w:rPr>
              <w:t xml:space="preserve">D4</w:t>
            </w:r>
          </w:p>
        </w:tc>
        <w:tc>
          <w:tcPr>
            <w:tcW w:type="pct" w:w="26%"/>
            <w:tcMar>
              <w:top w:type="dxa" w:w="46"/>
              <w:left w:type="dxa" w:w="74"/>
              <w:bottom w:type="dxa" w:w="46"/>
              <w:right w:type="dxa" w:w="74"/>
            </w:tcMar>
          </w:tcPr>
          <w:p>
            <w:r>
              <w:rPr>
                <w:b w:val="false"/>
                <w:bCs w:val="false"/>
                <w:sz w:val="15"/>
                <w:szCs w:val="15"/>
              </w:rPr>
              <w:t xml:space="preserve">Head with no distributors</w:t>
            </w:r>
          </w:p>
        </w:tc>
        <w:tc>
          <w:tcPr>
            <w:tcW w:type="pct" w:w="28%"/>
            <w:tcMar>
              <w:top w:type="dxa" w:w="46"/>
              <w:left w:type="dxa" w:w="74"/>
              <w:bottom w:type="dxa" w:w="46"/>
              <w:right w:type="dxa" w:w="74"/>
            </w:tcMar>
          </w:tcPr>
          <w:p>
            <w:r>
              <w:rPr>
                <w:b w:val="false"/>
                <w:bCs w:val="false"/>
                <w:sz w:val="15"/>
                <w:szCs w:val="15"/>
              </w:rPr>
              <w:t xml:space="preserve">a State Head with retailers and zero distributors</w:t>
            </w:r>
          </w:p>
        </w:tc>
        <w:tc>
          <w:tcPr>
            <w:tcW w:type="pct" w:w="40%"/>
            <w:tcMar>
              <w:top w:type="dxa" w:w="46"/>
              <w:left w:type="dxa" w:w="74"/>
              <w:bottom w:type="dxa" w:w="46"/>
              <w:right w:type="dxa" w:w="74"/>
            </w:tcMar>
          </w:tcPr>
          <w:p>
            <w:r>
              <w:rPr>
                <w:b w:val="false"/>
                <w:bCs w:val="false"/>
                <w:sz w:val="15"/>
                <w:szCs w:val="15"/>
              </w:rPr>
              <w:t xml:space="preserve">Nasir Hussain Khan has 139 retailers and no distributors - structural</w:t>
            </w:r>
          </w:p>
        </w:tc>
      </w:tr>
    </w:tbl>
    <w:p>
      <w:pPr>
        <w:pStyle w:val="Heading2"/>
        <w:spacing w:after="65" w:before="180"/>
      </w:pPr>
      <w:r>
        <w:rPr>
          <w:b/>
          <w:bCs/>
        </w:rPr>
        <w:t xml:space="preserve">E. Customer 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EEF5F5" w:color="auto" w:val="clear"/>
            <w:tcMar>
              <w:top w:type="dxa" w:w="46"/>
              <w:left w:type="dxa" w:w="74"/>
              <w:bottom w:type="dxa" w:w="46"/>
              <w:right w:type="dxa" w:w="74"/>
            </w:tcMar>
          </w:tcPr>
          <w:p>
            <w:r>
              <w:rPr>
                <w:b/>
                <w:bCs/>
                <w:sz w:val="15"/>
                <w:szCs w:val="15"/>
              </w:rPr>
              <w:t xml:space="preserve">#</w:t>
            </w:r>
          </w:p>
        </w:tc>
        <w:tc>
          <w:tcPr>
            <w:tcW w:type="pct" w:w="26%"/>
            <w:shd w:fill="EEF5F5" w:color="auto" w:val="clear"/>
            <w:tcMar>
              <w:top w:type="dxa" w:w="46"/>
              <w:left w:type="dxa" w:w="74"/>
              <w:bottom w:type="dxa" w:w="46"/>
              <w:right w:type="dxa" w:w="74"/>
            </w:tcMar>
          </w:tcPr>
          <w:p>
            <w:r>
              <w:rPr>
                <w:b/>
                <w:bCs/>
                <w:sz w:val="15"/>
                <w:szCs w:val="15"/>
              </w:rPr>
              <w:t xml:space="preserve">Warning</w:t>
            </w:r>
          </w:p>
        </w:tc>
        <w:tc>
          <w:tcPr>
            <w:tcW w:type="pct" w:w="28%"/>
            <w:shd w:fill="EEF5F5" w:color="auto" w:val="clear"/>
            <w:tcMar>
              <w:top w:type="dxa" w:w="46"/>
              <w:left w:type="dxa" w:w="74"/>
              <w:bottom w:type="dxa" w:w="46"/>
              <w:right w:type="dxa" w:w="74"/>
            </w:tcMar>
          </w:tcPr>
          <w:p>
            <w:r>
              <w:rPr>
                <w:b/>
                <w:bCs/>
                <w:sz w:val="15"/>
                <w:szCs w:val="15"/>
              </w:rPr>
              <w:t xml:space="preserve">Trigger</w:t>
            </w:r>
          </w:p>
        </w:tc>
        <w:tc>
          <w:tcPr>
            <w:tcW w:type="pct" w:w="40%"/>
            <w:shd w:fill="EEF5F5" w:color="auto" w:val="clear"/>
            <w:tcMar>
              <w:top w:type="dxa" w:w="46"/>
              <w:left w:type="dxa" w:w="74"/>
              <w:bottom w:type="dxa" w:w="46"/>
              <w:right w:type="dxa" w:w="74"/>
            </w:tcMar>
          </w:tcPr>
          <w:p>
            <w:r>
              <w:rPr>
                <w:b/>
                <w:bCs/>
                <w:sz w:val="15"/>
                <w:szCs w:val="15"/>
              </w:rPr>
              <w:t xml:space="preserve">Suggested action</w:t>
            </w:r>
          </w:p>
        </w:tc>
      </w:tr>
      <w:tr>
        <w:trPr>
          <w:tblHeader w:val="false"/>
        </w:trPr>
        <w:tc>
          <w:tcPr>
            <w:tcW w:type="pct" w:w="6%"/>
            <w:tcMar>
              <w:top w:type="dxa" w:w="46"/>
              <w:left w:type="dxa" w:w="74"/>
              <w:bottom w:type="dxa" w:w="46"/>
              <w:right w:type="dxa" w:w="74"/>
            </w:tcMar>
          </w:tcPr>
          <w:p>
            <w:r>
              <w:rPr>
                <w:b w:val="false"/>
                <w:bCs w:val="false"/>
                <w:sz w:val="15"/>
                <w:szCs w:val="15"/>
              </w:rPr>
              <w:t xml:space="preserve">E1</w:t>
            </w:r>
          </w:p>
        </w:tc>
        <w:tc>
          <w:tcPr>
            <w:tcW w:type="pct" w:w="26%"/>
            <w:tcMar>
              <w:top w:type="dxa" w:w="46"/>
              <w:left w:type="dxa" w:w="74"/>
              <w:bottom w:type="dxa" w:w="46"/>
              <w:right w:type="dxa" w:w="74"/>
            </w:tcMar>
          </w:tcPr>
          <w:p>
            <w:r>
              <w:rPr>
                <w:b w:val="false"/>
                <w:bCs w:val="false"/>
                <w:sz w:val="15"/>
                <w:szCs w:val="15"/>
              </w:rPr>
              <w:t xml:space="preserve">At-risk value</w:t>
            </w:r>
          </w:p>
        </w:tc>
        <w:tc>
          <w:tcPr>
            <w:tcW w:type="pct" w:w="28%"/>
            <w:tcMar>
              <w:top w:type="dxa" w:w="46"/>
              <w:left w:type="dxa" w:w="74"/>
              <w:bottom w:type="dxa" w:w="46"/>
              <w:right w:type="dxa" w:w="74"/>
            </w:tcMar>
          </w:tcPr>
          <w:p>
            <w:r>
              <w:rPr>
                <w:b w:val="false"/>
                <w:bCs w:val="false"/>
                <w:sz w:val="15"/>
                <w:szCs w:val="15"/>
              </w:rPr>
              <w:t xml:space="preserve">last-year business with nothing yet this year</w:t>
            </w:r>
          </w:p>
        </w:tc>
        <w:tc>
          <w:tcPr>
            <w:tcW w:type="pct" w:w="40%"/>
            <w:tcMar>
              <w:top w:type="dxa" w:w="46"/>
              <w:left w:type="dxa" w:w="74"/>
              <w:bottom w:type="dxa" w:w="46"/>
              <w:right w:type="dxa" w:w="74"/>
            </w:tcMar>
          </w:tcPr>
          <w:p>
            <w:r>
              <w:rPr>
                <w:b w:val="false"/>
                <w:bCs w:val="false"/>
                <w:sz w:val="15"/>
                <w:szCs w:val="15"/>
              </w:rPr>
              <w:t xml:space="preserve">Win-back list ranked by prior-year value - proven demand, highest value calls</w:t>
            </w:r>
          </w:p>
        </w:tc>
      </w:tr>
      <w:tr>
        <w:trPr>
          <w:tblHeader w:val="false"/>
        </w:trPr>
        <w:tc>
          <w:tcPr>
            <w:tcW w:type="pct" w:w="6%"/>
            <w:tcMar>
              <w:top w:type="dxa" w:w="46"/>
              <w:left w:type="dxa" w:w="74"/>
              <w:bottom w:type="dxa" w:w="46"/>
              <w:right w:type="dxa" w:w="74"/>
            </w:tcMar>
          </w:tcPr>
          <w:p>
            <w:r>
              <w:rPr>
                <w:b w:val="false"/>
                <w:bCs w:val="false"/>
                <w:sz w:val="15"/>
                <w:szCs w:val="15"/>
              </w:rPr>
              <w:t xml:space="preserve">E2</w:t>
            </w:r>
          </w:p>
        </w:tc>
        <w:tc>
          <w:tcPr>
            <w:tcW w:type="pct" w:w="26%"/>
            <w:tcMar>
              <w:top w:type="dxa" w:w="46"/>
              <w:left w:type="dxa" w:w="74"/>
              <w:bottom w:type="dxa" w:w="46"/>
              <w:right w:type="dxa" w:w="74"/>
            </w:tcMar>
          </w:tcPr>
          <w:p>
            <w:r>
              <w:rPr>
                <w:b w:val="false"/>
                <w:bCs w:val="false"/>
                <w:sz w:val="15"/>
                <w:szCs w:val="15"/>
              </w:rPr>
              <w:t xml:space="preserve">Dormancy rising</w:t>
            </w:r>
          </w:p>
        </w:tc>
        <w:tc>
          <w:tcPr>
            <w:tcW w:type="pct" w:w="28%"/>
            <w:tcMar>
              <w:top w:type="dxa" w:w="46"/>
              <w:left w:type="dxa" w:w="74"/>
              <w:bottom w:type="dxa" w:w="46"/>
              <w:right w:type="dxa" w:w="74"/>
            </w:tcMar>
          </w:tcPr>
          <w:p>
            <w:r>
              <w:rPr>
                <w:b w:val="false"/>
                <w:bCs w:val="false"/>
                <w:sz w:val="15"/>
                <w:szCs w:val="15"/>
              </w:rPr>
              <w:t xml:space="preserve">active share falling against own history</w:t>
            </w:r>
          </w:p>
        </w:tc>
        <w:tc>
          <w:tcPr>
            <w:tcW w:type="pct" w:w="40%"/>
            <w:tcMar>
              <w:top w:type="dxa" w:w="46"/>
              <w:left w:type="dxa" w:w="74"/>
              <w:bottom w:type="dxa" w:w="46"/>
              <w:right w:type="dxa" w:w="74"/>
            </w:tcMar>
          </w:tcPr>
          <w:p>
            <w:r>
              <w:rPr>
                <w:b w:val="false"/>
                <w:bCs w:val="false"/>
                <w:sz w:val="15"/>
                <w:szCs w:val="15"/>
              </w:rPr>
              <w:t xml:space="preserve">Separate supply-route dormancy from genuine lapse before acting</w:t>
            </w:r>
          </w:p>
        </w:tc>
      </w:tr>
      <w:tr>
        <w:trPr>
          <w:tblHeader w:val="false"/>
        </w:trPr>
        <w:tc>
          <w:tcPr>
            <w:tcW w:type="pct" w:w="6%"/>
            <w:tcMar>
              <w:top w:type="dxa" w:w="46"/>
              <w:left w:type="dxa" w:w="74"/>
              <w:bottom w:type="dxa" w:w="46"/>
              <w:right w:type="dxa" w:w="74"/>
            </w:tcMar>
          </w:tcPr>
          <w:p>
            <w:r>
              <w:rPr>
                <w:b w:val="false"/>
                <w:bCs w:val="false"/>
                <w:sz w:val="15"/>
                <w:szCs w:val="15"/>
              </w:rPr>
              <w:t xml:space="preserve">E3</w:t>
            </w:r>
          </w:p>
        </w:tc>
        <w:tc>
          <w:tcPr>
            <w:tcW w:type="pct" w:w="26%"/>
            <w:tcMar>
              <w:top w:type="dxa" w:w="46"/>
              <w:left w:type="dxa" w:w="74"/>
              <w:bottom w:type="dxa" w:w="46"/>
              <w:right w:type="dxa" w:w="74"/>
            </w:tcMar>
          </w:tcPr>
          <w:p>
            <w:r>
              <w:rPr>
                <w:b w:val="false"/>
                <w:bCs w:val="false"/>
                <w:sz w:val="15"/>
                <w:szCs w:val="15"/>
              </w:rPr>
              <w:t xml:space="preserve">No new business</w:t>
            </w:r>
          </w:p>
        </w:tc>
        <w:tc>
          <w:tcPr>
            <w:tcW w:type="pct" w:w="28%"/>
            <w:tcMar>
              <w:top w:type="dxa" w:w="46"/>
              <w:left w:type="dxa" w:w="74"/>
              <w:bottom w:type="dxa" w:w="46"/>
              <w:right w:type="dxa" w:w="74"/>
            </w:tcMar>
          </w:tcPr>
          <w:p>
            <w:r>
              <w:rPr>
                <w:b w:val="false"/>
                <w:bCs w:val="false"/>
                <w:sz w:val="15"/>
                <w:szCs w:val="15"/>
              </w:rPr>
              <w:t xml:space="preserve">zero newly onboarded retailers</w:t>
            </w:r>
          </w:p>
        </w:tc>
        <w:tc>
          <w:tcPr>
            <w:tcW w:type="pct" w:w="40%"/>
            <w:tcMar>
              <w:top w:type="dxa" w:w="46"/>
              <w:left w:type="dxa" w:w="74"/>
              <w:bottom w:type="dxa" w:w="46"/>
              <w:right w:type="dxa" w:w="74"/>
            </w:tcMar>
          </w:tcPr>
          <w:p>
            <w:r>
              <w:rPr>
                <w:b w:val="false"/>
                <w:bCs w:val="false"/>
                <w:sz w:val="15"/>
                <w:szCs w:val="15"/>
              </w:rPr>
              <w:t xml:space="preserve">Keep separate from reactivation - a person can score zero here and still revive accounts</w:t>
            </w:r>
          </w:p>
        </w:tc>
      </w:tr>
      <w:tr>
        <w:trPr>
          <w:tblHeader w:val="false"/>
        </w:trPr>
        <w:tc>
          <w:tcPr>
            <w:tcW w:type="pct" w:w="6%"/>
            <w:tcMar>
              <w:top w:type="dxa" w:w="46"/>
              <w:left w:type="dxa" w:w="74"/>
              <w:bottom w:type="dxa" w:w="46"/>
              <w:right w:type="dxa" w:w="74"/>
            </w:tcMar>
          </w:tcPr>
          <w:p>
            <w:r>
              <w:rPr>
                <w:b w:val="false"/>
                <w:bCs w:val="false"/>
                <w:sz w:val="15"/>
                <w:szCs w:val="15"/>
              </w:rPr>
              <w:t xml:space="preserve">E4</w:t>
            </w:r>
          </w:p>
        </w:tc>
        <w:tc>
          <w:tcPr>
            <w:tcW w:type="pct" w:w="26%"/>
            <w:tcMar>
              <w:top w:type="dxa" w:w="46"/>
              <w:left w:type="dxa" w:w="74"/>
              <w:bottom w:type="dxa" w:w="46"/>
              <w:right w:type="dxa" w:w="74"/>
            </w:tcMar>
          </w:tcPr>
          <w:p>
            <w:r>
              <w:rPr>
                <w:b w:val="false"/>
                <w:bCs w:val="false"/>
                <w:sz w:val="15"/>
                <w:szCs w:val="15"/>
              </w:rPr>
              <w:t xml:space="preserve">Never-bought being visited</w:t>
            </w:r>
          </w:p>
        </w:tc>
        <w:tc>
          <w:tcPr>
            <w:tcW w:type="pct" w:w="28%"/>
            <w:tcMar>
              <w:top w:type="dxa" w:w="46"/>
              <w:left w:type="dxa" w:w="74"/>
              <w:bottom w:type="dxa" w:w="46"/>
              <w:right w:type="dxa" w:w="74"/>
            </w:tcMar>
          </w:tcPr>
          <w:p>
            <w:r>
              <w:rPr>
                <w:b w:val="false"/>
                <w:bCs w:val="false"/>
                <w:sz w:val="15"/>
                <w:szCs w:val="15"/>
              </w:rPr>
              <w:t xml:space="preserve">visits to retailers with no business in either year</w:t>
            </w:r>
          </w:p>
        </w:tc>
        <w:tc>
          <w:tcPr>
            <w:tcW w:type="pct" w:w="40%"/>
            <w:tcMar>
              <w:top w:type="dxa" w:w="46"/>
              <w:left w:type="dxa" w:w="74"/>
              <w:bottom w:type="dxa" w:w="46"/>
              <w:right w:type="dxa" w:w="74"/>
            </w:tcMar>
          </w:tcPr>
          <w:p>
            <w:r>
              <w:rPr>
                <w:b w:val="false"/>
                <w:bCs w:val="false"/>
                <w:sz w:val="15"/>
                <w:szCs w:val="15"/>
              </w:rPr>
              <w:t xml:space="preserve">Qualify before scheduling again</w:t>
            </w:r>
          </w:p>
        </w:tc>
      </w:tr>
    </w:tbl>
    <w:p>
      <w:pPr>
        <w:pStyle w:val="Heading2"/>
        <w:spacing w:after="65" w:before="180"/>
      </w:pPr>
      <w:r>
        <w:rPr>
          <w:b/>
          <w:bCs/>
        </w:rPr>
        <w:t xml:space="preserve">F. Variety and range</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EVERY WARNING IN THIS FAMILY IS CLOSED-YEARS-ONLY. There is no FY2026-27 secondary register, so item-code, segment and discount data do not exist for the live year. These must show 'not available for the current year' - never a zero, and never a false all-clear. A silent green on variety would be the most misleading thing on 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EEF5F5" w:color="auto" w:val="clear"/>
            <w:tcMar>
              <w:top w:type="dxa" w:w="46"/>
              <w:left w:type="dxa" w:w="74"/>
              <w:bottom w:type="dxa" w:w="46"/>
              <w:right w:type="dxa" w:w="74"/>
            </w:tcMar>
          </w:tcPr>
          <w:p>
            <w:r>
              <w:rPr>
                <w:b/>
                <w:bCs/>
                <w:sz w:val="15"/>
                <w:szCs w:val="15"/>
              </w:rPr>
              <w:t xml:space="preserve">#</w:t>
            </w:r>
          </w:p>
        </w:tc>
        <w:tc>
          <w:tcPr>
            <w:tcW w:type="pct" w:w="26%"/>
            <w:shd w:fill="EEF5F5" w:color="auto" w:val="clear"/>
            <w:tcMar>
              <w:top w:type="dxa" w:w="46"/>
              <w:left w:type="dxa" w:w="74"/>
              <w:bottom w:type="dxa" w:w="46"/>
              <w:right w:type="dxa" w:w="74"/>
            </w:tcMar>
          </w:tcPr>
          <w:p>
            <w:r>
              <w:rPr>
                <w:b/>
                <w:bCs/>
                <w:sz w:val="15"/>
                <w:szCs w:val="15"/>
              </w:rPr>
              <w:t xml:space="preserve">Warning</w:t>
            </w:r>
          </w:p>
        </w:tc>
        <w:tc>
          <w:tcPr>
            <w:tcW w:type="pct" w:w="28%"/>
            <w:shd w:fill="EEF5F5" w:color="auto" w:val="clear"/>
            <w:tcMar>
              <w:top w:type="dxa" w:w="46"/>
              <w:left w:type="dxa" w:w="74"/>
              <w:bottom w:type="dxa" w:w="46"/>
              <w:right w:type="dxa" w:w="74"/>
            </w:tcMar>
          </w:tcPr>
          <w:p>
            <w:r>
              <w:rPr>
                <w:b/>
                <w:bCs/>
                <w:sz w:val="15"/>
                <w:szCs w:val="15"/>
              </w:rPr>
              <w:t xml:space="preserve">Trigger</w:t>
            </w:r>
          </w:p>
        </w:tc>
        <w:tc>
          <w:tcPr>
            <w:tcW w:type="pct" w:w="40%"/>
            <w:shd w:fill="EEF5F5" w:color="auto" w:val="clear"/>
            <w:tcMar>
              <w:top w:type="dxa" w:w="46"/>
              <w:left w:type="dxa" w:w="74"/>
              <w:bottom w:type="dxa" w:w="46"/>
              <w:right w:type="dxa" w:w="74"/>
            </w:tcMar>
          </w:tcPr>
          <w:p>
            <w:r>
              <w:rPr>
                <w:b/>
                <w:bCs/>
                <w:sz w:val="15"/>
                <w:szCs w:val="15"/>
              </w:rPr>
              <w:t xml:space="preserve">Suggested action</w:t>
            </w:r>
          </w:p>
        </w:tc>
      </w:tr>
      <w:tr>
        <w:trPr>
          <w:tblHeader w:val="false"/>
        </w:trPr>
        <w:tc>
          <w:tcPr>
            <w:tcW w:type="pct" w:w="6%"/>
            <w:tcMar>
              <w:top w:type="dxa" w:w="46"/>
              <w:left w:type="dxa" w:w="74"/>
              <w:bottom w:type="dxa" w:w="46"/>
              <w:right w:type="dxa" w:w="74"/>
            </w:tcMar>
          </w:tcPr>
          <w:p>
            <w:r>
              <w:rPr>
                <w:b w:val="false"/>
                <w:bCs w:val="false"/>
                <w:sz w:val="15"/>
                <w:szCs w:val="15"/>
              </w:rPr>
              <w:t xml:space="preserve">F1</w:t>
            </w:r>
          </w:p>
        </w:tc>
        <w:tc>
          <w:tcPr>
            <w:tcW w:type="pct" w:w="26%"/>
            <w:tcMar>
              <w:top w:type="dxa" w:w="46"/>
              <w:left w:type="dxa" w:w="74"/>
              <w:bottom w:type="dxa" w:w="46"/>
              <w:right w:type="dxa" w:w="74"/>
            </w:tcMar>
          </w:tcPr>
          <w:p>
            <w:r>
              <w:rPr>
                <w:b w:val="false"/>
                <w:bCs w:val="false"/>
                <w:sz w:val="15"/>
                <w:szCs w:val="15"/>
              </w:rPr>
              <w:t xml:space="preserve">Segment breadth dropped</w:t>
            </w:r>
          </w:p>
        </w:tc>
        <w:tc>
          <w:tcPr>
            <w:tcW w:type="pct" w:w="28%"/>
            <w:tcMar>
              <w:top w:type="dxa" w:w="46"/>
              <w:left w:type="dxa" w:w="74"/>
              <w:bottom w:type="dxa" w:w="46"/>
              <w:right w:type="dxa" w:w="74"/>
            </w:tcMar>
          </w:tcPr>
          <w:p>
            <w:r>
              <w:rPr>
                <w:b w:val="false"/>
                <w:bCs w:val="false"/>
                <w:sz w:val="15"/>
                <w:szCs w:val="15"/>
              </w:rPr>
              <w:t xml:space="preserve">segments sold below prior year</w:t>
            </w:r>
          </w:p>
        </w:tc>
        <w:tc>
          <w:tcPr>
            <w:tcW w:type="pct" w:w="40%"/>
            <w:tcMar>
              <w:top w:type="dxa" w:w="46"/>
              <w:left w:type="dxa" w:w="74"/>
              <w:bottom w:type="dxa" w:w="46"/>
              <w:right w:type="dxa" w:w="74"/>
            </w:tcMar>
          </w:tcPr>
          <w:p>
            <w:r>
              <w:rPr>
                <w:b w:val="false"/>
                <w:bCs w:val="false"/>
                <w:sz w:val="15"/>
                <w:szCs w:val="15"/>
              </w:rPr>
              <w:t xml:space="preserve">Show which segments were lost, not just the count</w:t>
            </w:r>
          </w:p>
        </w:tc>
      </w:tr>
      <w:tr>
        <w:trPr>
          <w:tblHeader w:val="false"/>
        </w:trPr>
        <w:tc>
          <w:tcPr>
            <w:tcW w:type="pct" w:w="6%"/>
            <w:tcMar>
              <w:top w:type="dxa" w:w="46"/>
              <w:left w:type="dxa" w:w="74"/>
              <w:bottom w:type="dxa" w:w="46"/>
              <w:right w:type="dxa" w:w="74"/>
            </w:tcMar>
          </w:tcPr>
          <w:p>
            <w:r>
              <w:rPr>
                <w:b w:val="false"/>
                <w:bCs w:val="false"/>
                <w:sz w:val="15"/>
                <w:szCs w:val="15"/>
              </w:rPr>
              <w:t xml:space="preserve">F2</w:t>
            </w:r>
          </w:p>
        </w:tc>
        <w:tc>
          <w:tcPr>
            <w:tcW w:type="pct" w:w="26%"/>
            <w:tcMar>
              <w:top w:type="dxa" w:w="46"/>
              <w:left w:type="dxa" w:w="74"/>
              <w:bottom w:type="dxa" w:w="46"/>
              <w:right w:type="dxa" w:w="74"/>
            </w:tcMar>
          </w:tcPr>
          <w:p>
            <w:r>
              <w:rPr>
                <w:b w:val="false"/>
                <w:bCs w:val="false"/>
                <w:sz w:val="15"/>
                <w:szCs w:val="15"/>
              </w:rPr>
              <w:t xml:space="preserve">SKU count dropped</w:t>
            </w:r>
          </w:p>
        </w:tc>
        <w:tc>
          <w:tcPr>
            <w:tcW w:type="pct" w:w="28%"/>
            <w:tcMar>
              <w:top w:type="dxa" w:w="46"/>
              <w:left w:type="dxa" w:w="74"/>
              <w:bottom w:type="dxa" w:w="46"/>
              <w:right w:type="dxa" w:w="74"/>
            </w:tcMar>
          </w:tcPr>
          <w:p>
            <w:r>
              <w:rPr>
                <w:b w:val="false"/>
                <w:bCs w:val="false"/>
                <w:sz w:val="15"/>
                <w:szCs w:val="15"/>
              </w:rPr>
              <w:t xml:space="preserve">distinct item codes below prior year</w:t>
            </w:r>
          </w:p>
        </w:tc>
        <w:tc>
          <w:tcPr>
            <w:tcW w:type="pct" w:w="40%"/>
            <w:tcMar>
              <w:top w:type="dxa" w:w="46"/>
              <w:left w:type="dxa" w:w="74"/>
              <w:bottom w:type="dxa" w:w="46"/>
              <w:right w:type="dxa" w:w="74"/>
            </w:tcMar>
          </w:tcPr>
          <w:p>
            <w:r>
              <w:rPr>
                <w:b w:val="false"/>
                <w:bCs w:val="false"/>
                <w:sz w:val="15"/>
                <w:szCs w:val="15"/>
              </w:rPr>
              <w:t xml:space="preserve">Rank the lost codes by prior-year value</w:t>
            </w:r>
          </w:p>
        </w:tc>
      </w:tr>
      <w:tr>
        <w:trPr>
          <w:tblHeader w:val="false"/>
        </w:trPr>
        <w:tc>
          <w:tcPr>
            <w:tcW w:type="pct" w:w="6%"/>
            <w:tcMar>
              <w:top w:type="dxa" w:w="46"/>
              <w:left w:type="dxa" w:w="74"/>
              <w:bottom w:type="dxa" w:w="46"/>
              <w:right w:type="dxa" w:w="74"/>
            </w:tcMar>
          </w:tcPr>
          <w:p>
            <w:r>
              <w:rPr>
                <w:b w:val="false"/>
                <w:bCs w:val="false"/>
                <w:sz w:val="15"/>
                <w:szCs w:val="15"/>
              </w:rPr>
              <w:t xml:space="preserve">F3</w:t>
            </w:r>
          </w:p>
        </w:tc>
        <w:tc>
          <w:tcPr>
            <w:tcW w:type="pct" w:w="26%"/>
            <w:tcMar>
              <w:top w:type="dxa" w:w="46"/>
              <w:left w:type="dxa" w:w="74"/>
              <w:bottom w:type="dxa" w:w="46"/>
              <w:right w:type="dxa" w:w="74"/>
            </w:tcMar>
          </w:tcPr>
          <w:p>
            <w:r>
              <w:rPr>
                <w:b w:val="false"/>
                <w:bCs w:val="false"/>
                <w:sz w:val="15"/>
                <w:szCs w:val="15"/>
              </w:rPr>
              <w:t xml:space="preserve">Cross-sell depth falling</w:t>
            </w:r>
          </w:p>
        </w:tc>
        <w:tc>
          <w:tcPr>
            <w:tcW w:type="pct" w:w="28%"/>
            <w:tcMar>
              <w:top w:type="dxa" w:w="46"/>
              <w:left w:type="dxa" w:w="74"/>
              <w:bottom w:type="dxa" w:w="46"/>
              <w:right w:type="dxa" w:w="74"/>
            </w:tcMar>
          </w:tcPr>
          <w:p>
            <w:r>
              <w:rPr>
                <w:b w:val="false"/>
                <w:bCs w:val="false"/>
                <w:sz w:val="15"/>
                <w:szCs w:val="15"/>
              </w:rPr>
              <w:t xml:space="preserve">average segments per retailer declining</w:t>
            </w:r>
          </w:p>
        </w:tc>
        <w:tc>
          <w:tcPr>
            <w:tcW w:type="pct" w:w="40%"/>
            <w:tcMar>
              <w:top w:type="dxa" w:w="46"/>
              <w:left w:type="dxa" w:w="74"/>
              <w:bottom w:type="dxa" w:w="46"/>
              <w:right w:type="dxa" w:w="74"/>
            </w:tcMar>
          </w:tcPr>
          <w:p>
            <w:r>
              <w:rPr>
                <w:b w:val="false"/>
                <w:bCs w:val="false"/>
                <w:sz w:val="15"/>
                <w:szCs w:val="15"/>
              </w:rPr>
              <w:t xml:space="preserve">Range-depth inside segments already sold is the easiest conversion</w:t>
            </w:r>
          </w:p>
        </w:tc>
      </w:tr>
      <w:tr>
        <w:trPr>
          <w:tblHeader w:val="false"/>
        </w:trPr>
        <w:tc>
          <w:tcPr>
            <w:tcW w:type="pct" w:w="6%"/>
            <w:tcMar>
              <w:top w:type="dxa" w:w="46"/>
              <w:left w:type="dxa" w:w="74"/>
              <w:bottom w:type="dxa" w:w="46"/>
              <w:right w:type="dxa" w:w="74"/>
            </w:tcMar>
          </w:tcPr>
          <w:p>
            <w:r>
              <w:rPr>
                <w:b w:val="false"/>
                <w:bCs w:val="false"/>
                <w:sz w:val="15"/>
                <w:szCs w:val="15"/>
              </w:rPr>
              <w:t xml:space="preserve">F4</w:t>
            </w:r>
          </w:p>
        </w:tc>
        <w:tc>
          <w:tcPr>
            <w:tcW w:type="pct" w:w="26%"/>
            <w:tcMar>
              <w:top w:type="dxa" w:w="46"/>
              <w:left w:type="dxa" w:w="74"/>
              <w:bottom w:type="dxa" w:w="46"/>
              <w:right w:type="dxa" w:w="74"/>
            </w:tcMar>
          </w:tcPr>
          <w:p>
            <w:r>
              <w:rPr>
                <w:b w:val="false"/>
                <w:bCs w:val="false"/>
                <w:sz w:val="15"/>
                <w:szCs w:val="15"/>
              </w:rPr>
              <w:t xml:space="preserve">Lost SKUs</w:t>
            </w:r>
          </w:p>
        </w:tc>
        <w:tc>
          <w:tcPr>
            <w:tcW w:type="pct" w:w="28%"/>
            <w:tcMar>
              <w:top w:type="dxa" w:w="46"/>
              <w:left w:type="dxa" w:w="74"/>
              <w:bottom w:type="dxa" w:w="46"/>
              <w:right w:type="dxa" w:w="74"/>
            </w:tcMar>
          </w:tcPr>
          <w:p>
            <w:r>
              <w:rPr>
                <w:b w:val="false"/>
                <w:bCs w:val="false"/>
                <w:sz w:val="15"/>
                <w:szCs w:val="15"/>
              </w:rPr>
              <w:t xml:space="preserve">codes bought last year, absent this year</w:t>
            </w:r>
          </w:p>
        </w:tc>
        <w:tc>
          <w:tcPr>
            <w:tcW w:type="pct" w:w="40%"/>
            <w:tcMar>
              <w:top w:type="dxa" w:w="46"/>
              <w:left w:type="dxa" w:w="74"/>
              <w:bottom w:type="dxa" w:w="46"/>
              <w:right w:type="dxa" w:w="74"/>
            </w:tcMar>
          </w:tcPr>
          <w:p>
            <w:r>
              <w:rPr>
                <w:b w:val="false"/>
                <w:bCs w:val="false"/>
                <w:sz w:val="15"/>
                <w:szCs w:val="15"/>
              </w:rPr>
              <w:t xml:space="preserve">A win-back list with proven prior demand attached</w:t>
            </w:r>
          </w:p>
        </w:tc>
      </w:tr>
    </w:tbl>
    <w:p>
      <w:pPr>
        <w:pStyle w:val="Heading2"/>
        <w:spacing w:after="65" w:before="180"/>
      </w:pPr>
      <w:r>
        <w:rPr>
          <w:b/>
          <w:bCs/>
        </w:rPr>
        <w:t xml:space="preserve">G. Concentration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EEF5F5" w:color="auto" w:val="clear"/>
            <w:tcMar>
              <w:top w:type="dxa" w:w="46"/>
              <w:left w:type="dxa" w:w="74"/>
              <w:bottom w:type="dxa" w:w="46"/>
              <w:right w:type="dxa" w:w="74"/>
            </w:tcMar>
          </w:tcPr>
          <w:p>
            <w:r>
              <w:rPr>
                <w:b/>
                <w:bCs/>
                <w:sz w:val="15"/>
                <w:szCs w:val="15"/>
              </w:rPr>
              <w:t xml:space="preserve">#</w:t>
            </w:r>
          </w:p>
        </w:tc>
        <w:tc>
          <w:tcPr>
            <w:tcW w:type="pct" w:w="26%"/>
            <w:shd w:fill="EEF5F5" w:color="auto" w:val="clear"/>
            <w:tcMar>
              <w:top w:type="dxa" w:w="46"/>
              <w:left w:type="dxa" w:w="74"/>
              <w:bottom w:type="dxa" w:w="46"/>
              <w:right w:type="dxa" w:w="74"/>
            </w:tcMar>
          </w:tcPr>
          <w:p>
            <w:r>
              <w:rPr>
                <w:b/>
                <w:bCs/>
                <w:sz w:val="15"/>
                <w:szCs w:val="15"/>
              </w:rPr>
              <w:t xml:space="preserve">Warning</w:t>
            </w:r>
          </w:p>
        </w:tc>
        <w:tc>
          <w:tcPr>
            <w:tcW w:type="pct" w:w="28%"/>
            <w:shd w:fill="EEF5F5" w:color="auto" w:val="clear"/>
            <w:tcMar>
              <w:top w:type="dxa" w:w="46"/>
              <w:left w:type="dxa" w:w="74"/>
              <w:bottom w:type="dxa" w:w="46"/>
              <w:right w:type="dxa" w:w="74"/>
            </w:tcMar>
          </w:tcPr>
          <w:p>
            <w:r>
              <w:rPr>
                <w:b/>
                <w:bCs/>
                <w:sz w:val="15"/>
                <w:szCs w:val="15"/>
              </w:rPr>
              <w:t xml:space="preserve">Trigger</w:t>
            </w:r>
          </w:p>
        </w:tc>
        <w:tc>
          <w:tcPr>
            <w:tcW w:type="pct" w:w="40%"/>
            <w:shd w:fill="EEF5F5" w:color="auto" w:val="clear"/>
            <w:tcMar>
              <w:top w:type="dxa" w:w="46"/>
              <w:left w:type="dxa" w:w="74"/>
              <w:bottom w:type="dxa" w:w="46"/>
              <w:right w:type="dxa" w:w="74"/>
            </w:tcMar>
          </w:tcPr>
          <w:p>
            <w:r>
              <w:rPr>
                <w:b/>
                <w:bCs/>
                <w:sz w:val="15"/>
                <w:szCs w:val="15"/>
              </w:rPr>
              <w:t xml:space="preserve">Suggested action</w:t>
            </w:r>
          </w:p>
        </w:tc>
      </w:tr>
      <w:tr>
        <w:trPr>
          <w:tblHeader w:val="false"/>
        </w:trPr>
        <w:tc>
          <w:tcPr>
            <w:tcW w:type="pct" w:w="6%"/>
            <w:tcMar>
              <w:top w:type="dxa" w:w="46"/>
              <w:left w:type="dxa" w:w="74"/>
              <w:bottom w:type="dxa" w:w="46"/>
              <w:right w:type="dxa" w:w="74"/>
            </w:tcMar>
          </w:tcPr>
          <w:p>
            <w:r>
              <w:rPr>
                <w:b w:val="false"/>
                <w:bCs w:val="false"/>
                <w:sz w:val="15"/>
                <w:szCs w:val="15"/>
              </w:rPr>
              <w:t xml:space="preserve">G1</w:t>
            </w:r>
          </w:p>
        </w:tc>
        <w:tc>
          <w:tcPr>
            <w:tcW w:type="pct" w:w="26%"/>
            <w:tcMar>
              <w:top w:type="dxa" w:w="46"/>
              <w:left w:type="dxa" w:w="74"/>
              <w:bottom w:type="dxa" w:w="46"/>
              <w:right w:type="dxa" w:w="74"/>
            </w:tcMar>
          </w:tcPr>
          <w:p>
            <w:r>
              <w:rPr>
                <w:b w:val="false"/>
                <w:bCs w:val="false"/>
                <w:sz w:val="15"/>
                <w:szCs w:val="15"/>
              </w:rPr>
              <w:t xml:space="preserve">Customer concentration</w:t>
            </w:r>
          </w:p>
        </w:tc>
        <w:tc>
          <w:tcPr>
            <w:tcW w:type="pct" w:w="28%"/>
            <w:tcMar>
              <w:top w:type="dxa" w:w="46"/>
              <w:left w:type="dxa" w:w="74"/>
              <w:bottom w:type="dxa" w:w="46"/>
              <w:right w:type="dxa" w:w="74"/>
            </w:tcMar>
          </w:tcPr>
          <w:p>
            <w:r>
              <w:rPr>
                <w:b w:val="false"/>
                <w:bCs w:val="false"/>
                <w:sz w:val="15"/>
                <w:szCs w:val="15"/>
              </w:rPr>
              <w:t xml:space="preserve">top-5 share, effective retailers</w:t>
            </w:r>
          </w:p>
        </w:tc>
        <w:tc>
          <w:tcPr>
            <w:tcW w:type="pct" w:w="40%"/>
            <w:tcMar>
              <w:top w:type="dxa" w:w="46"/>
              <w:left w:type="dxa" w:w="74"/>
              <w:bottom w:type="dxa" w:w="46"/>
              <w:right w:type="dxa" w:w="74"/>
            </w:tcMar>
          </w:tcPr>
          <w:p>
            <w:r>
              <w:rPr>
                <w:b w:val="false"/>
                <w:bCs w:val="false"/>
                <w:sz w:val="15"/>
                <w:szCs w:val="15"/>
              </w:rPr>
              <w:t xml:space="preserve">Broadening the active base matters more than growing the top accounts</w:t>
            </w:r>
          </w:p>
        </w:tc>
      </w:tr>
      <w:tr>
        <w:trPr>
          <w:tblHeader w:val="false"/>
        </w:trPr>
        <w:tc>
          <w:tcPr>
            <w:tcW w:type="pct" w:w="6%"/>
            <w:tcMar>
              <w:top w:type="dxa" w:w="46"/>
              <w:left w:type="dxa" w:w="74"/>
              <w:bottom w:type="dxa" w:w="46"/>
              <w:right w:type="dxa" w:w="74"/>
            </w:tcMar>
          </w:tcPr>
          <w:p>
            <w:r>
              <w:rPr>
                <w:b w:val="false"/>
                <w:bCs w:val="false"/>
                <w:sz w:val="15"/>
                <w:szCs w:val="15"/>
              </w:rPr>
              <w:t xml:space="preserve">G2</w:t>
            </w:r>
          </w:p>
        </w:tc>
        <w:tc>
          <w:tcPr>
            <w:tcW w:type="pct" w:w="26%"/>
            <w:tcMar>
              <w:top w:type="dxa" w:w="46"/>
              <w:left w:type="dxa" w:w="74"/>
              <w:bottom w:type="dxa" w:w="46"/>
              <w:right w:type="dxa" w:w="74"/>
            </w:tcMar>
          </w:tcPr>
          <w:p>
            <w:r>
              <w:rPr>
                <w:b w:val="false"/>
                <w:bCs w:val="false"/>
                <w:sz w:val="15"/>
                <w:szCs w:val="15"/>
              </w:rPr>
              <w:t xml:space="preserve">Single-distributor dependency</w:t>
            </w:r>
          </w:p>
        </w:tc>
        <w:tc>
          <w:tcPr>
            <w:tcW w:type="pct" w:w="28%"/>
            <w:tcMar>
              <w:top w:type="dxa" w:w="46"/>
              <w:left w:type="dxa" w:w="74"/>
              <w:bottom w:type="dxa" w:w="46"/>
              <w:right w:type="dxa" w:w="74"/>
            </w:tcMar>
          </w:tcPr>
          <w:p>
            <w:r>
              <w:rPr>
                <w:b w:val="false"/>
                <w:bCs w:val="false"/>
                <w:sz w:val="15"/>
                <w:szCs w:val="15"/>
              </w:rPr>
              <w:t xml:space="preserve">one distributor's share of territory business</w:t>
            </w:r>
          </w:p>
        </w:tc>
        <w:tc>
          <w:tcPr>
            <w:tcW w:type="pct" w:w="40%"/>
            <w:tcMar>
              <w:top w:type="dxa" w:w="46"/>
              <w:left w:type="dxa" w:w="74"/>
              <w:bottom w:type="dxa" w:w="46"/>
              <w:right w:type="dxa" w:w="74"/>
            </w:tcMar>
          </w:tcPr>
          <w:p>
            <w:r>
              <w:rPr>
                <w:b w:val="false"/>
                <w:bCs w:val="false"/>
                <w:sz w:val="15"/>
                <w:szCs w:val="15"/>
              </w:rPr>
              <w:t xml:space="preserve">Jagdamba Traders carries 86.1% of party business in one territory</w:t>
            </w:r>
          </w:p>
        </w:tc>
      </w:tr>
      <w:tr>
        <w:trPr>
          <w:tblHeader w:val="false"/>
        </w:trPr>
        <w:tc>
          <w:tcPr>
            <w:tcW w:type="pct" w:w="6%"/>
            <w:tcMar>
              <w:top w:type="dxa" w:w="46"/>
              <w:left w:type="dxa" w:w="74"/>
              <w:bottom w:type="dxa" w:w="46"/>
              <w:right w:type="dxa" w:w="74"/>
            </w:tcMar>
          </w:tcPr>
          <w:p>
            <w:r>
              <w:rPr>
                <w:b w:val="false"/>
                <w:bCs w:val="false"/>
                <w:sz w:val="15"/>
                <w:szCs w:val="15"/>
              </w:rPr>
              <w:t xml:space="preserve">G3</w:t>
            </w:r>
          </w:p>
        </w:tc>
        <w:tc>
          <w:tcPr>
            <w:tcW w:type="pct" w:w="26%"/>
            <w:tcMar>
              <w:top w:type="dxa" w:w="46"/>
              <w:left w:type="dxa" w:w="74"/>
              <w:bottom w:type="dxa" w:w="46"/>
              <w:right w:type="dxa" w:w="74"/>
            </w:tcMar>
          </w:tcPr>
          <w:p>
            <w:r>
              <w:rPr>
                <w:b w:val="false"/>
                <w:bCs w:val="false"/>
                <w:sz w:val="15"/>
                <w:szCs w:val="15"/>
              </w:rPr>
              <w:t xml:space="preserve">Distributor's own concentration</w:t>
            </w:r>
          </w:p>
        </w:tc>
        <w:tc>
          <w:tcPr>
            <w:tcW w:type="pct" w:w="28%"/>
            <w:tcMar>
              <w:top w:type="dxa" w:w="46"/>
              <w:left w:type="dxa" w:w="74"/>
              <w:bottom w:type="dxa" w:w="46"/>
              <w:right w:type="dxa" w:w="74"/>
            </w:tcMar>
          </w:tcPr>
          <w:p>
            <w:r>
              <w:rPr>
                <w:b w:val="false"/>
                <w:bCs w:val="false"/>
                <w:sz w:val="15"/>
                <w:szCs w:val="15"/>
              </w:rPr>
              <w:t xml:space="preserve">that distributor's top-3 retailer share</w:t>
            </w:r>
          </w:p>
        </w:tc>
        <w:tc>
          <w:tcPr>
            <w:tcW w:type="pct" w:w="40%"/>
            <w:tcMar>
              <w:top w:type="dxa" w:w="46"/>
              <w:left w:type="dxa" w:w="74"/>
              <w:bottom w:type="dxa" w:w="46"/>
              <w:right w:type="dxa" w:w="74"/>
            </w:tcMar>
          </w:tcPr>
          <w:p>
            <w:r>
              <w:rPr>
                <w:b w:val="false"/>
                <w:bCs w:val="false"/>
                <w:sz w:val="15"/>
                <w:szCs w:val="15"/>
              </w:rPr>
              <w:t xml:space="preserve">Their fragility becomes Prayag's problem one step later</w:t>
            </w:r>
          </w:p>
        </w:tc>
      </w:tr>
    </w:tbl>
    <w:p>
      <w:pPr>
        <w:pStyle w:val="Heading2"/>
        <w:spacing w:after="65" w:before="180"/>
      </w:pPr>
      <w:r>
        <w:rPr>
          <w:b/>
          <w:bCs/>
        </w:rPr>
        <w:t xml:space="preserve">H. Distributor 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EEF5F5" w:color="auto" w:val="clear"/>
            <w:tcMar>
              <w:top w:type="dxa" w:w="46"/>
              <w:left w:type="dxa" w:w="74"/>
              <w:bottom w:type="dxa" w:w="46"/>
              <w:right w:type="dxa" w:w="74"/>
            </w:tcMar>
          </w:tcPr>
          <w:p>
            <w:r>
              <w:rPr>
                <w:b/>
                <w:bCs/>
                <w:sz w:val="15"/>
                <w:szCs w:val="15"/>
              </w:rPr>
              <w:t xml:space="preserve">#</w:t>
            </w:r>
          </w:p>
        </w:tc>
        <w:tc>
          <w:tcPr>
            <w:tcW w:type="pct" w:w="26%"/>
            <w:shd w:fill="EEF5F5" w:color="auto" w:val="clear"/>
            <w:tcMar>
              <w:top w:type="dxa" w:w="46"/>
              <w:left w:type="dxa" w:w="74"/>
              <w:bottom w:type="dxa" w:w="46"/>
              <w:right w:type="dxa" w:w="74"/>
            </w:tcMar>
          </w:tcPr>
          <w:p>
            <w:r>
              <w:rPr>
                <w:b/>
                <w:bCs/>
                <w:sz w:val="15"/>
                <w:szCs w:val="15"/>
              </w:rPr>
              <w:t xml:space="preserve">Warning</w:t>
            </w:r>
          </w:p>
        </w:tc>
        <w:tc>
          <w:tcPr>
            <w:tcW w:type="pct" w:w="28%"/>
            <w:shd w:fill="EEF5F5" w:color="auto" w:val="clear"/>
            <w:tcMar>
              <w:top w:type="dxa" w:w="46"/>
              <w:left w:type="dxa" w:w="74"/>
              <w:bottom w:type="dxa" w:w="46"/>
              <w:right w:type="dxa" w:w="74"/>
            </w:tcMar>
          </w:tcPr>
          <w:p>
            <w:r>
              <w:rPr>
                <w:b/>
                <w:bCs/>
                <w:sz w:val="15"/>
                <w:szCs w:val="15"/>
              </w:rPr>
              <w:t xml:space="preserve">Trigger</w:t>
            </w:r>
          </w:p>
        </w:tc>
        <w:tc>
          <w:tcPr>
            <w:tcW w:type="pct" w:w="40%"/>
            <w:shd w:fill="EEF5F5" w:color="auto" w:val="clear"/>
            <w:tcMar>
              <w:top w:type="dxa" w:w="46"/>
              <w:left w:type="dxa" w:w="74"/>
              <w:bottom w:type="dxa" w:w="46"/>
              <w:right w:type="dxa" w:w="74"/>
            </w:tcMar>
          </w:tcPr>
          <w:p>
            <w:r>
              <w:rPr>
                <w:b/>
                <w:bCs/>
                <w:sz w:val="15"/>
                <w:szCs w:val="15"/>
              </w:rPr>
              <w:t xml:space="preserve">Suggested action</w:t>
            </w:r>
          </w:p>
        </w:tc>
      </w:tr>
      <w:tr>
        <w:trPr>
          <w:tblHeader w:val="false"/>
        </w:trPr>
        <w:tc>
          <w:tcPr>
            <w:tcW w:type="pct" w:w="6%"/>
            <w:tcMar>
              <w:top w:type="dxa" w:w="46"/>
              <w:left w:type="dxa" w:w="74"/>
              <w:bottom w:type="dxa" w:w="46"/>
              <w:right w:type="dxa" w:w="74"/>
            </w:tcMar>
          </w:tcPr>
          <w:p>
            <w:r>
              <w:rPr>
                <w:b w:val="false"/>
                <w:bCs w:val="false"/>
                <w:sz w:val="15"/>
                <w:szCs w:val="15"/>
              </w:rPr>
              <w:t xml:space="preserve">H1</w:t>
            </w:r>
          </w:p>
        </w:tc>
        <w:tc>
          <w:tcPr>
            <w:tcW w:type="pct" w:w="26%"/>
            <w:tcMar>
              <w:top w:type="dxa" w:w="46"/>
              <w:left w:type="dxa" w:w="74"/>
              <w:bottom w:type="dxa" w:w="46"/>
              <w:right w:type="dxa" w:w="74"/>
            </w:tcMar>
          </w:tcPr>
          <w:p>
            <w:r>
              <w:rPr>
                <w:b w:val="false"/>
                <w:bCs w:val="false"/>
                <w:sz w:val="15"/>
                <w:szCs w:val="15"/>
              </w:rPr>
              <w:t xml:space="preserve">Flow gap widening</w:t>
            </w:r>
          </w:p>
        </w:tc>
        <w:tc>
          <w:tcPr>
            <w:tcW w:type="pct" w:w="28%"/>
            <w:tcMar>
              <w:top w:type="dxa" w:w="46"/>
              <w:left w:type="dxa" w:w="74"/>
              <w:bottom w:type="dxa" w:w="46"/>
              <w:right w:type="dxa" w:w="74"/>
            </w:tcMar>
          </w:tcPr>
          <w:p>
            <w:r>
              <w:rPr>
                <w:b w:val="false"/>
                <w:bCs w:val="false"/>
                <w:sz w:val="15"/>
                <w:szCs w:val="15"/>
              </w:rPr>
              <w:t xml:space="preserve">purchases in minus sales out, same period</w:t>
            </w:r>
          </w:p>
        </w:tc>
        <w:tc>
          <w:tcPr>
            <w:tcW w:type="pct" w:w="40%"/>
            <w:tcMar>
              <w:top w:type="dxa" w:w="46"/>
              <w:left w:type="dxa" w:w="74"/>
              <w:bottom w:type="dxa" w:w="46"/>
              <w:right w:type="dxa" w:w="74"/>
            </w:tcMar>
          </w:tcPr>
          <w:p>
            <w:r>
              <w:rPr>
                <w:b w:val="false"/>
                <w:bCs w:val="false"/>
                <w:sz w:val="15"/>
                <w:szCs w:val="15"/>
              </w:rPr>
              <w:t xml:space="preserve">State BOTH readings - stock building, or business outside the channel. Never as an accusation</w:t>
            </w:r>
          </w:p>
        </w:tc>
      </w:tr>
      <w:tr>
        <w:trPr>
          <w:tblHeader w:val="false"/>
        </w:trPr>
        <w:tc>
          <w:tcPr>
            <w:tcW w:type="pct" w:w="6%"/>
            <w:tcMar>
              <w:top w:type="dxa" w:w="46"/>
              <w:left w:type="dxa" w:w="74"/>
              <w:bottom w:type="dxa" w:w="46"/>
              <w:right w:type="dxa" w:w="74"/>
            </w:tcMar>
          </w:tcPr>
          <w:p>
            <w:r>
              <w:rPr>
                <w:b w:val="false"/>
                <w:bCs w:val="false"/>
                <w:sz w:val="15"/>
                <w:szCs w:val="15"/>
              </w:rPr>
              <w:t xml:space="preserve">H2</w:t>
            </w:r>
          </w:p>
        </w:tc>
        <w:tc>
          <w:tcPr>
            <w:tcW w:type="pct" w:w="26%"/>
            <w:tcMar>
              <w:top w:type="dxa" w:w="46"/>
              <w:left w:type="dxa" w:w="74"/>
              <w:bottom w:type="dxa" w:w="46"/>
              <w:right w:type="dxa" w:w="74"/>
            </w:tcMar>
          </w:tcPr>
          <w:p>
            <w:r>
              <w:rPr>
                <w:b w:val="false"/>
                <w:bCs w:val="false"/>
                <w:sz w:val="15"/>
                <w:szCs w:val="15"/>
              </w:rPr>
              <w:t xml:space="preserve">Fill rate falling</w:t>
            </w:r>
          </w:p>
        </w:tc>
        <w:tc>
          <w:tcPr>
            <w:tcW w:type="pct" w:w="28%"/>
            <w:tcMar>
              <w:top w:type="dxa" w:w="46"/>
              <w:left w:type="dxa" w:w="74"/>
              <w:bottom w:type="dxa" w:w="46"/>
              <w:right w:type="dxa" w:w="74"/>
            </w:tcMar>
          </w:tcPr>
          <w:p>
            <w:r>
              <w:rPr>
                <w:b w:val="false"/>
                <w:bCs w:val="false"/>
                <w:sz w:val="15"/>
                <w:szCs w:val="15"/>
              </w:rPr>
              <w:t xml:space="preserve">pending against booking</w:t>
            </w:r>
          </w:p>
        </w:tc>
        <w:tc>
          <w:tcPr>
            <w:tcW w:type="pct" w:w="40%"/>
            <w:tcMar>
              <w:top w:type="dxa" w:w="46"/>
              <w:left w:type="dxa" w:w="74"/>
              <w:bottom w:type="dxa" w:w="46"/>
              <w:right w:type="dxa" w:w="74"/>
            </w:tcMar>
          </w:tcPr>
          <w:p>
            <w:r>
              <w:rPr>
                <w:b w:val="false"/>
                <w:bCs w:val="false"/>
                <w:sz w:val="15"/>
                <w:szCs w:val="15"/>
              </w:rPr>
              <w:t xml:space="preserve">Usually supply or credit hold, not demand</w:t>
            </w:r>
          </w:p>
        </w:tc>
      </w:tr>
      <w:tr>
        <w:trPr>
          <w:tblHeader w:val="false"/>
        </w:trPr>
        <w:tc>
          <w:tcPr>
            <w:tcW w:type="pct" w:w="6%"/>
            <w:tcMar>
              <w:top w:type="dxa" w:w="46"/>
              <w:left w:type="dxa" w:w="74"/>
              <w:bottom w:type="dxa" w:w="46"/>
              <w:right w:type="dxa" w:w="74"/>
            </w:tcMar>
          </w:tcPr>
          <w:p>
            <w:r>
              <w:rPr>
                <w:b w:val="false"/>
                <w:bCs w:val="false"/>
                <w:sz w:val="15"/>
                <w:szCs w:val="15"/>
              </w:rPr>
              <w:t xml:space="preserve">H3</w:t>
            </w:r>
          </w:p>
        </w:tc>
        <w:tc>
          <w:tcPr>
            <w:tcW w:type="pct" w:w="26%"/>
            <w:tcMar>
              <w:top w:type="dxa" w:w="46"/>
              <w:left w:type="dxa" w:w="74"/>
              <w:bottom w:type="dxa" w:w="46"/>
              <w:right w:type="dxa" w:w="74"/>
            </w:tcMar>
          </w:tcPr>
          <w:p>
            <w:r>
              <w:rPr>
                <w:b w:val="false"/>
                <w:bCs w:val="false"/>
                <w:sz w:val="15"/>
                <w:szCs w:val="15"/>
              </w:rPr>
              <w:t xml:space="preserve">Distributor gone quiet</w:t>
            </w:r>
          </w:p>
        </w:tc>
        <w:tc>
          <w:tcPr>
            <w:tcW w:type="pct" w:w="28%"/>
            <w:tcMar>
              <w:top w:type="dxa" w:w="46"/>
              <w:left w:type="dxa" w:w="74"/>
              <w:bottom w:type="dxa" w:w="46"/>
              <w:right w:type="dxa" w:w="74"/>
            </w:tcMar>
          </w:tcPr>
          <w:p>
            <w:r>
              <w:rPr>
                <w:b w:val="false"/>
                <w:bCs w:val="false"/>
                <w:sz w:val="15"/>
                <w:szCs w:val="15"/>
              </w:rPr>
              <w:t xml:space="preserve">no order in N days against own pattern</w:t>
            </w:r>
          </w:p>
        </w:tc>
        <w:tc>
          <w:tcPr>
            <w:tcW w:type="pct" w:w="40%"/>
            <w:tcMar>
              <w:top w:type="dxa" w:w="46"/>
              <w:left w:type="dxa" w:w="74"/>
              <w:bottom w:type="dxa" w:w="46"/>
              <w:right w:type="dxa" w:w="74"/>
            </w:tcMar>
          </w:tcPr>
          <w:p>
            <w:r>
              <w:rPr>
                <w:b w:val="false"/>
                <w:bCs w:val="false"/>
                <w:sz w:val="15"/>
                <w:szCs w:val="15"/>
              </w:rPr>
              <w:t xml:space="preserve">Recency moves before totals do</w:t>
            </w:r>
          </w:p>
        </w:tc>
      </w:tr>
    </w:tbl>
    <w:p>
      <w:pPr>
        <w:pStyle w:val="Heading2"/>
        <w:spacing w:after="65" w:before="180"/>
      </w:pPr>
      <w:r>
        <w:rPr>
          <w:b/>
          <w:bCs/>
        </w:rPr>
        <w:t xml:space="preserve">I. Cost, and J. Data quality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EEF5F5" w:color="auto" w:val="clear"/>
            <w:tcMar>
              <w:top w:type="dxa" w:w="46"/>
              <w:left w:type="dxa" w:w="74"/>
              <w:bottom w:type="dxa" w:w="46"/>
              <w:right w:type="dxa" w:w="74"/>
            </w:tcMar>
          </w:tcPr>
          <w:p>
            <w:r>
              <w:rPr>
                <w:b/>
                <w:bCs/>
                <w:sz w:val="15"/>
                <w:szCs w:val="15"/>
              </w:rPr>
              <w:t xml:space="preserve">#</w:t>
            </w:r>
          </w:p>
        </w:tc>
        <w:tc>
          <w:tcPr>
            <w:tcW w:type="pct" w:w="26%"/>
            <w:shd w:fill="EEF5F5" w:color="auto" w:val="clear"/>
            <w:tcMar>
              <w:top w:type="dxa" w:w="46"/>
              <w:left w:type="dxa" w:w="74"/>
              <w:bottom w:type="dxa" w:w="46"/>
              <w:right w:type="dxa" w:w="74"/>
            </w:tcMar>
          </w:tcPr>
          <w:p>
            <w:r>
              <w:rPr>
                <w:b/>
                <w:bCs/>
                <w:sz w:val="15"/>
                <w:szCs w:val="15"/>
              </w:rPr>
              <w:t xml:space="preserve">Warning</w:t>
            </w:r>
          </w:p>
        </w:tc>
        <w:tc>
          <w:tcPr>
            <w:tcW w:type="pct" w:w="28%"/>
            <w:shd w:fill="EEF5F5" w:color="auto" w:val="clear"/>
            <w:tcMar>
              <w:top w:type="dxa" w:w="46"/>
              <w:left w:type="dxa" w:w="74"/>
              <w:bottom w:type="dxa" w:w="46"/>
              <w:right w:type="dxa" w:w="74"/>
            </w:tcMar>
          </w:tcPr>
          <w:p>
            <w:r>
              <w:rPr>
                <w:b/>
                <w:bCs/>
                <w:sz w:val="15"/>
                <w:szCs w:val="15"/>
              </w:rPr>
              <w:t xml:space="preserve">Trigger</w:t>
            </w:r>
          </w:p>
        </w:tc>
        <w:tc>
          <w:tcPr>
            <w:tcW w:type="pct" w:w="40%"/>
            <w:shd w:fill="EEF5F5" w:color="auto" w:val="clear"/>
            <w:tcMar>
              <w:top w:type="dxa" w:w="46"/>
              <w:left w:type="dxa" w:w="74"/>
              <w:bottom w:type="dxa" w:w="46"/>
              <w:right w:type="dxa" w:w="74"/>
            </w:tcMar>
          </w:tcPr>
          <w:p>
            <w:r>
              <w:rPr>
                <w:b/>
                <w:bCs/>
                <w:sz w:val="15"/>
                <w:szCs w:val="15"/>
              </w:rPr>
              <w:t xml:space="preserve">Suggested action</w:t>
            </w:r>
          </w:p>
        </w:tc>
      </w:tr>
      <w:tr>
        <w:trPr>
          <w:tblHeader w:val="false"/>
        </w:trPr>
        <w:tc>
          <w:tcPr>
            <w:tcW w:type="pct" w:w="6%"/>
            <w:tcMar>
              <w:top w:type="dxa" w:w="46"/>
              <w:left w:type="dxa" w:w="74"/>
              <w:bottom w:type="dxa" w:w="46"/>
              <w:right w:type="dxa" w:w="74"/>
            </w:tcMar>
          </w:tcPr>
          <w:p>
            <w:r>
              <w:rPr>
                <w:b w:val="false"/>
                <w:bCs w:val="false"/>
                <w:sz w:val="15"/>
                <w:szCs w:val="15"/>
              </w:rPr>
              <w:t xml:space="preserve">I1</w:t>
            </w:r>
          </w:p>
        </w:tc>
        <w:tc>
          <w:tcPr>
            <w:tcW w:type="pct" w:w="26%"/>
            <w:tcMar>
              <w:top w:type="dxa" w:w="46"/>
              <w:left w:type="dxa" w:w="74"/>
              <w:bottom w:type="dxa" w:w="46"/>
              <w:right w:type="dxa" w:w="74"/>
            </w:tcMar>
          </w:tcPr>
          <w:p>
            <w:r>
              <w:rPr>
                <w:b w:val="false"/>
                <w:bCs w:val="false"/>
                <w:sz w:val="15"/>
                <w:szCs w:val="15"/>
              </w:rPr>
              <w:t xml:space="preserve">Cost ratio drifting</w:t>
            </w:r>
          </w:p>
        </w:tc>
        <w:tc>
          <w:tcPr>
            <w:tcW w:type="pct" w:w="28%"/>
            <w:tcMar>
              <w:top w:type="dxa" w:w="46"/>
              <w:left w:type="dxa" w:w="74"/>
              <w:bottom w:type="dxa" w:w="46"/>
              <w:right w:type="dxa" w:w="74"/>
            </w:tcMar>
          </w:tcPr>
          <w:p>
            <w:r>
              <w:rPr>
                <w:b w:val="false"/>
                <w:bCs w:val="false"/>
                <w:sz w:val="15"/>
                <w:szCs w:val="15"/>
              </w:rPr>
              <w:t xml:space="preserve">cost rising faster than business</w:t>
            </w:r>
          </w:p>
        </w:tc>
        <w:tc>
          <w:tcPr>
            <w:tcW w:type="pct" w:w="40%"/>
            <w:tcMar>
              <w:top w:type="dxa" w:w="46"/>
              <w:left w:type="dxa" w:w="74"/>
              <w:bottom w:type="dxa" w:w="46"/>
              <w:right w:type="dxa" w:w="74"/>
            </w:tcMar>
          </w:tcPr>
          <w:p>
            <w:r>
              <w:rPr>
                <w:b w:val="false"/>
                <w:bCs w:val="false"/>
                <w:sz w:val="15"/>
                <w:szCs w:val="15"/>
              </w:rPr>
              <w:t xml:space="preserve">Revenue efficiency only - margin needs a cost master that does not exist</w:t>
            </w:r>
          </w:p>
        </w:tc>
      </w:tr>
      <w:tr>
        <w:trPr>
          <w:tblHeader w:val="false"/>
        </w:trPr>
        <w:tc>
          <w:tcPr>
            <w:tcW w:type="pct" w:w="6%"/>
            <w:tcMar>
              <w:top w:type="dxa" w:w="46"/>
              <w:left w:type="dxa" w:w="74"/>
              <w:bottom w:type="dxa" w:w="46"/>
              <w:right w:type="dxa" w:w="74"/>
            </w:tcMar>
          </w:tcPr>
          <w:p>
            <w:r>
              <w:rPr>
                <w:b w:val="false"/>
                <w:bCs w:val="false"/>
                <w:sz w:val="15"/>
                <w:szCs w:val="15"/>
              </w:rPr>
              <w:t xml:space="preserve">I2</w:t>
            </w:r>
          </w:p>
        </w:tc>
        <w:tc>
          <w:tcPr>
            <w:tcW w:type="pct" w:w="26%"/>
            <w:tcMar>
              <w:top w:type="dxa" w:w="46"/>
              <w:left w:type="dxa" w:w="74"/>
              <w:bottom w:type="dxa" w:w="46"/>
              <w:right w:type="dxa" w:w="74"/>
            </w:tcMar>
          </w:tcPr>
          <w:p>
            <w:r>
              <w:rPr>
                <w:b w:val="false"/>
                <w:bCs w:val="false"/>
                <w:sz w:val="15"/>
                <w:szCs w:val="15"/>
              </w:rPr>
              <w:t xml:space="preserve">Cost per visit rising</w:t>
            </w:r>
          </w:p>
        </w:tc>
        <w:tc>
          <w:tcPr>
            <w:tcW w:type="pct" w:w="28%"/>
            <w:tcMar>
              <w:top w:type="dxa" w:w="46"/>
              <w:left w:type="dxa" w:w="74"/>
              <w:bottom w:type="dxa" w:w="46"/>
              <w:right w:type="dxa" w:w="74"/>
            </w:tcMar>
          </w:tcPr>
          <w:p>
            <w:r>
              <w:rPr>
                <w:b w:val="false"/>
                <w:bCs w:val="false"/>
                <w:sz w:val="15"/>
                <w:szCs w:val="15"/>
              </w:rPr>
              <w:t xml:space="preserve">cost per visit against own history</w:t>
            </w:r>
          </w:p>
        </w:tc>
        <w:tc>
          <w:tcPr>
            <w:tcW w:type="pct" w:w="40%"/>
            <w:tcMar>
              <w:top w:type="dxa" w:w="46"/>
              <w:left w:type="dxa" w:w="74"/>
              <w:bottom w:type="dxa" w:w="46"/>
              <w:right w:type="dxa" w:w="74"/>
            </w:tcMar>
          </w:tcPr>
          <w:p>
            <w:r>
              <w:rPr>
                <w:b w:val="false"/>
                <w:bCs w:val="false"/>
                <w:sz w:val="15"/>
                <w:szCs w:val="15"/>
              </w:rPr>
              <w:t xml:space="preserve">Read with the visit-productivity warning, not alone</w:t>
            </w:r>
          </w:p>
        </w:tc>
      </w:tr>
      <w:tr>
        <w:trPr>
          <w:tblHeader w:val="false"/>
        </w:trPr>
        <w:tc>
          <w:tcPr>
            <w:tcW w:type="pct" w:w="6%"/>
            <w:tcMar>
              <w:top w:type="dxa" w:w="46"/>
              <w:left w:type="dxa" w:w="74"/>
              <w:bottom w:type="dxa" w:w="46"/>
              <w:right w:type="dxa" w:w="74"/>
            </w:tcMar>
          </w:tcPr>
          <w:p>
            <w:r>
              <w:rPr>
                <w:b w:val="false"/>
                <w:bCs w:val="false"/>
                <w:sz w:val="15"/>
                <w:szCs w:val="15"/>
              </w:rPr>
              <w:t xml:space="preserve">J1</w:t>
            </w:r>
          </w:p>
        </w:tc>
        <w:tc>
          <w:tcPr>
            <w:tcW w:type="pct" w:w="26%"/>
            <w:tcMar>
              <w:top w:type="dxa" w:w="46"/>
              <w:left w:type="dxa" w:w="74"/>
              <w:bottom w:type="dxa" w:w="46"/>
              <w:right w:type="dxa" w:w="74"/>
            </w:tcMar>
          </w:tcPr>
          <w:p>
            <w:r>
              <w:rPr>
                <w:b w:val="false"/>
                <w:bCs w:val="false"/>
                <w:sz w:val="15"/>
                <w:szCs w:val="15"/>
              </w:rPr>
              <w:t xml:space="preserve">No working sheet mapped</w:t>
            </w:r>
          </w:p>
        </w:tc>
        <w:tc>
          <w:tcPr>
            <w:tcW w:type="pct" w:w="28%"/>
            <w:tcMar>
              <w:top w:type="dxa" w:w="46"/>
              <w:left w:type="dxa" w:w="74"/>
              <w:bottom w:type="dxa" w:w="46"/>
              <w:right w:type="dxa" w:w="74"/>
            </w:tcMar>
          </w:tcPr>
          <w:p>
            <w:r>
              <w:rPr>
                <w:b w:val="false"/>
                <w:bCs w:val="false"/>
                <w:sz w:val="15"/>
                <w:szCs w:val="15"/>
              </w:rPr>
              <w:t xml:space="preserve">member has no sheet</w:t>
            </w:r>
          </w:p>
        </w:tc>
        <w:tc>
          <w:tcPr>
            <w:tcW w:type="pct" w:w="40%"/>
            <w:tcMar>
              <w:top w:type="dxa" w:w="46"/>
              <w:left w:type="dxa" w:w="74"/>
              <w:bottom w:type="dxa" w:w="46"/>
              <w:right w:type="dxa" w:w="74"/>
            </w:tcMar>
          </w:tcPr>
          <w:p>
            <w:r>
              <w:rPr>
                <w:b w:val="false"/>
                <w:bCs w:val="false"/>
                <w:sz w:val="15"/>
                <w:szCs w:val="15"/>
              </w:rPr>
              <w:t xml:space="preserve">Detail is ABSENT, not zero. Never show a green all-clear</w:t>
            </w:r>
          </w:p>
        </w:tc>
      </w:tr>
      <w:tr>
        <w:trPr>
          <w:tblHeader w:val="false"/>
        </w:trPr>
        <w:tc>
          <w:tcPr>
            <w:tcW w:type="pct" w:w="6%"/>
            <w:tcMar>
              <w:top w:type="dxa" w:w="46"/>
              <w:left w:type="dxa" w:w="74"/>
              <w:bottom w:type="dxa" w:w="46"/>
              <w:right w:type="dxa" w:w="74"/>
            </w:tcMar>
          </w:tcPr>
          <w:p>
            <w:r>
              <w:rPr>
                <w:b w:val="false"/>
                <w:bCs w:val="false"/>
                <w:sz w:val="15"/>
                <w:szCs w:val="15"/>
              </w:rPr>
              <w:t xml:space="preserve">J2</w:t>
            </w:r>
          </w:p>
        </w:tc>
        <w:tc>
          <w:tcPr>
            <w:tcW w:type="pct" w:w="26%"/>
            <w:tcMar>
              <w:top w:type="dxa" w:w="46"/>
              <w:left w:type="dxa" w:w="74"/>
              <w:bottom w:type="dxa" w:w="46"/>
              <w:right w:type="dxa" w:w="74"/>
            </w:tcMar>
          </w:tcPr>
          <w:p>
            <w:r>
              <w:rPr>
                <w:b w:val="false"/>
                <w:bCs w:val="false"/>
                <w:sz w:val="15"/>
                <w:szCs w:val="15"/>
              </w:rPr>
              <w:t xml:space="preserve">Booking with zero sale</w:t>
            </w:r>
          </w:p>
        </w:tc>
        <w:tc>
          <w:tcPr>
            <w:tcW w:type="pct" w:w="28%"/>
            <w:tcMar>
              <w:top w:type="dxa" w:w="46"/>
              <w:left w:type="dxa" w:w="74"/>
              <w:bottom w:type="dxa" w:w="46"/>
              <w:right w:type="dxa" w:w="74"/>
            </w:tcMar>
          </w:tcPr>
          <w:p>
            <w:r>
              <w:rPr>
                <w:b w:val="false"/>
                <w:bCs w:val="false"/>
                <w:sz w:val="15"/>
                <w:szCs w:val="15"/>
              </w:rPr>
              <w:t xml:space="preserve">order booking present, sale exactly zero</w:t>
            </w:r>
          </w:p>
        </w:tc>
        <w:tc>
          <w:tcPr>
            <w:tcW w:type="pct" w:w="40%"/>
            <w:tcMar>
              <w:top w:type="dxa" w:w="46"/>
              <w:left w:type="dxa" w:w="74"/>
              <w:bottom w:type="dxa" w:w="46"/>
              <w:right w:type="dxa" w:w="74"/>
            </w:tcMar>
          </w:tcPr>
          <w:p>
            <w:r>
              <w:rPr>
                <w:b w:val="false"/>
                <w:bCs w:val="false"/>
                <w:sz w:val="15"/>
                <w:szCs w:val="15"/>
              </w:rPr>
              <w:t xml:space="preserve">Confirm before assessing anyone - may be an unmaintained column</w:t>
            </w:r>
          </w:p>
        </w:tc>
      </w:tr>
      <w:tr>
        <w:trPr>
          <w:tblHeader w:val="false"/>
        </w:trPr>
        <w:tc>
          <w:tcPr>
            <w:tcW w:type="pct" w:w="6%"/>
            <w:tcMar>
              <w:top w:type="dxa" w:w="46"/>
              <w:left w:type="dxa" w:w="74"/>
              <w:bottom w:type="dxa" w:w="46"/>
              <w:right w:type="dxa" w:w="74"/>
            </w:tcMar>
          </w:tcPr>
          <w:p>
            <w:r>
              <w:rPr>
                <w:b w:val="false"/>
                <w:bCs w:val="false"/>
                <w:sz w:val="15"/>
                <w:szCs w:val="15"/>
              </w:rPr>
              <w:t xml:space="preserve">J3</w:t>
            </w:r>
          </w:p>
        </w:tc>
        <w:tc>
          <w:tcPr>
            <w:tcW w:type="pct" w:w="26%"/>
            <w:tcMar>
              <w:top w:type="dxa" w:w="46"/>
              <w:left w:type="dxa" w:w="74"/>
              <w:bottom w:type="dxa" w:w="46"/>
              <w:right w:type="dxa" w:w="74"/>
            </w:tcMar>
          </w:tcPr>
          <w:p>
            <w:r>
              <w:rPr>
                <w:b w:val="false"/>
                <w:bCs w:val="false"/>
                <w:sz w:val="15"/>
                <w:szCs w:val="15"/>
              </w:rPr>
              <w:t xml:space="preserve">Partial tenure</w:t>
            </w:r>
          </w:p>
        </w:tc>
        <w:tc>
          <w:tcPr>
            <w:tcW w:type="pct" w:w="28%"/>
            <w:tcMar>
              <w:top w:type="dxa" w:w="46"/>
              <w:left w:type="dxa" w:w="74"/>
              <w:bottom w:type="dxa" w:w="46"/>
              <w:right w:type="dxa" w:w="74"/>
            </w:tcMar>
          </w:tcPr>
          <w:p>
            <w:r>
              <w:rPr>
                <w:b w:val="false"/>
                <w:bCs w:val="false"/>
                <w:sz w:val="15"/>
                <w:szCs w:val="15"/>
              </w:rPr>
              <w:t xml:space="preserve">working days far below team norm</w:t>
            </w:r>
          </w:p>
        </w:tc>
        <w:tc>
          <w:tcPr>
            <w:tcW w:type="pct" w:w="40%"/>
            <w:tcMar>
              <w:top w:type="dxa" w:w="46"/>
              <w:left w:type="dxa" w:w="74"/>
              <w:bottom w:type="dxa" w:w="46"/>
              <w:right w:type="dxa" w:w="74"/>
            </w:tcMar>
          </w:tcPr>
          <w:p>
            <w:r>
              <w:rPr>
                <w:b w:val="false"/>
                <w:bCs w:val="false"/>
                <w:sz w:val="15"/>
                <w:szCs w:val="15"/>
              </w:rPr>
              <w:t xml:space="preserve">Suppress performance warnings; the basis is not comparable</w:t>
            </w:r>
          </w:p>
        </w:tc>
      </w:tr>
      <w:tr>
        <w:trPr>
          <w:tblHeader w:val="false"/>
        </w:trPr>
        <w:tc>
          <w:tcPr>
            <w:tcW w:type="pct" w:w="6%"/>
            <w:tcMar>
              <w:top w:type="dxa" w:w="46"/>
              <w:left w:type="dxa" w:w="74"/>
              <w:bottom w:type="dxa" w:w="46"/>
              <w:right w:type="dxa" w:w="74"/>
            </w:tcMar>
          </w:tcPr>
          <w:p>
            <w:r>
              <w:rPr>
                <w:b w:val="false"/>
                <w:bCs w:val="false"/>
                <w:sz w:val="15"/>
                <w:szCs w:val="15"/>
              </w:rPr>
              <w:t xml:space="preserve">J4</w:t>
            </w:r>
          </w:p>
        </w:tc>
        <w:tc>
          <w:tcPr>
            <w:tcW w:type="pct" w:w="26%"/>
            <w:tcMar>
              <w:top w:type="dxa" w:w="46"/>
              <w:left w:type="dxa" w:w="74"/>
              <w:bottom w:type="dxa" w:w="46"/>
              <w:right w:type="dxa" w:w="74"/>
            </w:tcMar>
          </w:tcPr>
          <w:p>
            <w:r>
              <w:rPr>
                <w:b w:val="false"/>
                <w:bCs w:val="false"/>
                <w:sz w:val="15"/>
                <w:szCs w:val="15"/>
              </w:rPr>
              <w:t xml:space="preserve">Cross-year key split</w:t>
            </w:r>
          </w:p>
        </w:tc>
        <w:tc>
          <w:tcPr>
            <w:tcW w:type="pct" w:w="28%"/>
            <w:tcMar>
              <w:top w:type="dxa" w:w="46"/>
              <w:left w:type="dxa" w:w="74"/>
              <w:bottom w:type="dxa" w:w="46"/>
              <w:right w:type="dxa" w:w="74"/>
            </w:tcMar>
          </w:tcPr>
          <w:p>
            <w:r>
              <w:rPr>
                <w:b w:val="false"/>
                <w:bCs w:val="false"/>
                <w:sz w:val="15"/>
                <w:szCs w:val="15"/>
              </w:rPr>
              <w:t xml:space="preserve">head or member key differs between years</w:t>
            </w:r>
          </w:p>
        </w:tc>
        <w:tc>
          <w:tcPr>
            <w:tcW w:type="pct" w:w="40%"/>
            <w:tcMar>
              <w:top w:type="dxa" w:w="46"/>
              <w:left w:type="dxa" w:w="74"/>
              <w:bottom w:type="dxa" w:w="46"/>
              <w:right w:type="dxa" w:w="74"/>
            </w:tcMar>
          </w:tcPr>
          <w:p>
            <w:r>
              <w:rPr>
                <w:b w:val="false"/>
                <w:bCs w:val="false"/>
                <w:sz w:val="15"/>
                <w:szCs w:val="15"/>
              </w:rPr>
              <w:t xml:space="preserve">Suppress all year-on-year warnings for that entity</w:t>
            </w:r>
          </w:p>
        </w:tc>
      </w:tr>
      <w:tr>
        <w:trPr>
          <w:tblHeader w:val="false"/>
        </w:trPr>
        <w:tc>
          <w:tcPr>
            <w:tcW w:type="pct" w:w="6%"/>
            <w:tcMar>
              <w:top w:type="dxa" w:w="46"/>
              <w:left w:type="dxa" w:w="74"/>
              <w:bottom w:type="dxa" w:w="46"/>
              <w:right w:type="dxa" w:w="74"/>
            </w:tcMar>
          </w:tcPr>
          <w:p>
            <w:r>
              <w:rPr>
                <w:b w:val="false"/>
                <w:bCs w:val="false"/>
                <w:sz w:val="15"/>
                <w:szCs w:val="15"/>
              </w:rPr>
              <w:t xml:space="preserve">J5</w:t>
            </w:r>
          </w:p>
        </w:tc>
        <w:tc>
          <w:tcPr>
            <w:tcW w:type="pct" w:w="26%"/>
            <w:tcMar>
              <w:top w:type="dxa" w:w="46"/>
              <w:left w:type="dxa" w:w="74"/>
              <w:bottom w:type="dxa" w:w="46"/>
              <w:right w:type="dxa" w:w="74"/>
            </w:tcMar>
          </w:tcPr>
          <w:p>
            <w:r>
              <w:rPr>
                <w:b w:val="false"/>
                <w:bCs w:val="false"/>
                <w:sz w:val="15"/>
                <w:szCs w:val="15"/>
              </w:rPr>
              <w:t xml:space="preserve">Cutoff lag</w:t>
            </w:r>
          </w:p>
        </w:tc>
        <w:tc>
          <w:tcPr>
            <w:tcW w:type="pct" w:w="28%"/>
            <w:tcMar>
              <w:top w:type="dxa" w:w="46"/>
              <w:left w:type="dxa" w:w="74"/>
              <w:bottom w:type="dxa" w:w="46"/>
              <w:right w:type="dxa" w:w="74"/>
            </w:tcMar>
          </w:tcPr>
          <w:p>
            <w:r>
              <w:rPr>
                <w:b w:val="false"/>
                <w:bCs w:val="false"/>
                <w:sz w:val="15"/>
                <w:szCs w:val="15"/>
              </w:rPr>
              <w:t xml:space="preserve">data cutoff materially older than today</w:t>
            </w:r>
          </w:p>
        </w:tc>
        <w:tc>
          <w:tcPr>
            <w:tcW w:type="pct" w:w="40%"/>
            <w:tcMar>
              <w:top w:type="dxa" w:w="46"/>
              <w:left w:type="dxa" w:w="74"/>
              <w:bottom w:type="dxa" w:w="46"/>
              <w:right w:type="dxa" w:w="74"/>
            </w:tcMar>
          </w:tcPr>
          <w:p>
            <w:r>
              <w:rPr>
                <w:b w:val="false"/>
                <w:bCs w:val="false"/>
                <w:sz w:val="15"/>
                <w:szCs w:val="15"/>
              </w:rPr>
              <w:t xml:space="preserve">Every warning on the page is as old as the cutoff</w:t>
            </w:r>
          </w:p>
        </w:tc>
      </w:tr>
    </w:tbl>
    <w:p>
      <w:pPr>
        <w:pBdr>
          <w:top w:val="single" w:color="BBCCDD" w:sz="6" w:space="6"/>
          <w:bottom w:val="single" w:color="BBCCDD" w:sz="6" w:space="6"/>
          <w:left w:val="single" w:color="BBCCDD" w:sz="6" w:space="6"/>
          <w:right w:val="single" w:color="BBCCDD" w:sz="6" w:space="6"/>
        </w:pBdr>
        <w:shd w:fill="EEF3F7" w:color="auto" w:val="clear"/>
        <w:spacing w:after="120"/>
      </w:pPr>
      <w:r>
        <w:t xml:space="preserve">Family J must be visible, not silent. A member with no mapped sheet showing no warnings looks healthy and is simply unmeasured. That is the single most dangerous state a warning page can display.</w:t>
      </w:r>
    </w:p>
    <w:p>
      <w:pPr>
        <w:pStyle w:val="Heading1"/>
        <w:spacing w:after="100" w:before="240"/>
      </w:pPr>
      <w:r>
        <w:rPr>
          <w:b/>
          <w:bCs/>
        </w:rPr>
        <w:t xml:space="preserve">Prompt W1 - the engine and the State Heads tab</w:t>
      </w:r>
    </w:p>
    <w:p>
      <w:pPr>
        <w:spacing w:after="20" w:before="100"/>
      </w:pPr>
      <w:r>
        <w:rPr>
          <w:b/>
          <w:bCs/>
          <w:i/>
          <w:iCs/>
          <w:color w:val="444444"/>
        </w:rPr>
        <w:t xml:space="preserve">PROMPT - W1</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new Warning System page, Phase W1. Same global rules as every earlier</w:t>
      </w:r>
      <w:r>
        <w:rPr>
          <w:rFonts w:ascii="Courier New" w:cs="Courier New" w:eastAsia="Courier New" w:hAnsi="Courier New"/>
          <w:sz w:val="15"/>
          <w:szCs w:val="15"/>
        </w:rPr>
        <w:br/>
        <w:t xml:space="preserve">phase. Build the engine and the State Heads tab only. Do not build the Distributors</w:t>
      </w:r>
      <w:r>
        <w:rPr>
          <w:rFonts w:ascii="Courier New" w:cs="Courier New" w:eastAsia="Courier New" w:hAnsi="Courier New"/>
          <w:sz w:val="15"/>
          <w:szCs w:val="15"/>
        </w:rPr>
        <w:br/>
        <w:t xml:space="preserve">tab in this phase.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NEW PAGE 'Warning System' with two tabs: State Heads and Distributors. Build the</w:t>
      </w:r>
      <w:r>
        <w:rPr>
          <w:rFonts w:ascii="Courier New" w:cs="Courier New" w:eastAsia="Courier New" w:hAnsi="Courier New"/>
          <w:sz w:val="15"/>
          <w:szCs w:val="15"/>
        </w:rPr>
        <w:br/>
        <w:t xml:space="preserve">   first; leave the second as a placeholder.</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THE ENGINE. Each warning is a definition carrying: code, family, level it applies</w:t>
      </w:r>
      <w:r>
        <w:rPr>
          <w:rFonts w:ascii="Courier New" w:cs="Courier New" w:eastAsia="Courier New" w:hAnsi="Courier New"/>
          <w:sz w:val="15"/>
          <w:szCs w:val="15"/>
        </w:rPr>
        <w:br/>
        <w:t xml:space="preserve">   to, the metric it reads, RED/ORANGE/YELLOW thresholds, a trend modifier, the</w:t>
      </w:r>
      <w:r>
        <w:rPr>
          <w:rFonts w:ascii="Courier New" w:cs="Courier New" w:eastAsia="Courier New" w:hAnsi="Courier New"/>
          <w:sz w:val="15"/>
          <w:szCs w:val="15"/>
        </w:rPr>
        <w:br/>
        <w:t xml:space="preserve">   warnings it suppresses when it fires, and a suggested action.</w:t>
      </w:r>
      <w:r>
        <w:rPr>
          <w:rFonts w:ascii="Courier New" w:cs="Courier New" w:eastAsia="Courier New" w:hAnsi="Courier New"/>
          <w:sz w:val="15"/>
          <w:szCs w:val="15"/>
        </w:rPr>
        <w:br/>
        <w:t xml:space="preserve">   All metrics must come from EXISTING verified computation - the Deep Dive logic and</w:t>
      </w:r>
      <w:r>
        <w:rPr>
          <w:rFonts w:ascii="Courier New" w:cs="Courier New" w:eastAsia="Courier New" w:hAnsi="Courier New"/>
          <w:sz w:val="15"/>
          <w:szCs w:val="15"/>
        </w:rPr>
        <w:br/>
        <w:t xml:space="preserve">   the report payload. Do not write new formulas. If a metric does not exist, the</w:t>
      </w:r>
      <w:r>
        <w:rPr>
          <w:rFonts w:ascii="Courier New" w:cs="Courier New" w:eastAsia="Courier New" w:hAnsi="Courier New"/>
          <w:sz w:val="15"/>
          <w:szCs w:val="15"/>
        </w:rPr>
        <w:br/>
        <w:t xml:space="preserve">   warning is 'not available' with a reason, never a green.</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SEVERITY = LEVEL adjusted by TREND. Compute the metric for the current period and</w:t>
      </w:r>
      <w:r>
        <w:rPr>
          <w:rFonts w:ascii="Courier New" w:cs="Courier New" w:eastAsia="Courier New" w:hAnsi="Courier New"/>
          <w:sz w:val="15"/>
          <w:szCs w:val="15"/>
        </w:rPr>
        <w:br/>
        <w:t xml:space="preserve">   the prior comparable period. A worsening warning moves one step more severe; an</w:t>
      </w:r>
      <w:r>
        <w:rPr>
          <w:rFonts w:ascii="Courier New" w:cs="Courier New" w:eastAsia="Courier New" w:hAnsi="Courier New"/>
          <w:sz w:val="15"/>
          <w:szCs w:val="15"/>
        </w:rPr>
        <w:br/>
        <w:t xml:space="preserve">   improving one moves one step less. Show the direction on the card.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SUPPRESSION - this is what keeps the page usable. When a warning fires, its</w:t>
      </w:r>
      <w:r>
        <w:rPr>
          <w:rFonts w:ascii="Courier New" w:cs="Courier New" w:eastAsia="Courier New" w:hAnsi="Courier New"/>
          <w:sz w:val="15"/>
          <w:szCs w:val="15"/>
        </w:rPr>
        <w:br/>
        <w:t xml:space="preserve">   declared dependants are collapsed beneath it and shown as a count, expandable.</w:t>
      </w:r>
      <w:r>
        <w:rPr>
          <w:rFonts w:ascii="Courier New" w:cs="Courier New" w:eastAsia="Courier New" w:hAnsi="Courier New"/>
          <w:sz w:val="15"/>
          <w:szCs w:val="15"/>
        </w:rPr>
        <w:br/>
        <w:t xml:space="preserve">   Required suppressions:</w:t>
      </w:r>
      <w:r>
        <w:rPr>
          <w:rFonts w:ascii="Courier New" w:cs="Courier New" w:eastAsia="Courier New" w:hAnsi="Courier New"/>
          <w:sz w:val="15"/>
          <w:szCs w:val="15"/>
        </w:rPr>
        <w:br/>
        <w:t xml:space="preserve">     D1 (high unassigned share) suppresses G1, C3 and E2 for that entity</w:t>
      </w:r>
      <w:r>
        <w:rPr>
          <w:rFonts w:ascii="Courier New" w:cs="Courier New" w:eastAsia="Courier New" w:hAnsi="Courier New"/>
          <w:sz w:val="15"/>
          <w:szCs w:val="15"/>
        </w:rPr>
        <w:br/>
        <w:t xml:space="preserve">     J1 (no sheet) suppresses every performance warning for that member</w:t>
      </w:r>
      <w:r>
        <w:rPr>
          <w:rFonts w:ascii="Courier New" w:cs="Courier New" w:eastAsia="Courier New" w:hAnsi="Courier New"/>
          <w:sz w:val="15"/>
          <w:szCs w:val="15"/>
        </w:rPr>
        <w:br/>
        <w:t xml:space="preserve">     J3 (partial tenure) suppresses A1, A2, C1 and C2 for that member</w:t>
      </w:r>
      <w:r>
        <w:rPr>
          <w:rFonts w:ascii="Courier New" w:cs="Courier New" w:eastAsia="Courier New" w:hAnsi="Courier New"/>
          <w:sz w:val="15"/>
          <w:szCs w:val="15"/>
        </w:rPr>
        <w:br/>
        <w:t xml:space="preserve">     J4 (cross-year key split) suppresses every year-on-year warning</w:t>
      </w:r>
      <w:r>
        <w:rPr>
          <w:rFonts w:ascii="Courier New" w:cs="Courier New" w:eastAsia="Courier New" w:hAnsi="Courier New"/>
          <w:sz w:val="15"/>
          <w:szCs w:val="15"/>
        </w:rPr>
        <w:br/>
        <w:t xml:space="preserve">   Tested on real data: without suppression, Rahul Singh fires four reds that are all</w:t>
      </w:r>
      <w:r>
        <w:rPr>
          <w:rFonts w:ascii="Courier New" w:cs="Courier New" w:eastAsia="Courier New" w:hAnsi="Courier New"/>
          <w:sz w:val="15"/>
          <w:szCs w:val="15"/>
        </w:rPr>
        <w:br/>
        <w:t xml:space="preserve">   downstream of one fact - 59 of his 64 retailers have no assigned distributor.</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5. IMPLEMENT THESE WARNINGS in W1 (live-data families A, C, D, E, G, I, J):</w:t>
      </w:r>
      <w:r>
        <w:rPr>
          <w:rFonts w:ascii="Courier New" w:cs="Courier New" w:eastAsia="Courier New" w:hAnsi="Courier New"/>
          <w:sz w:val="15"/>
          <w:szCs w:val="15"/>
        </w:rPr>
        <w:br/>
        <w:t xml:space="preserve">     A1 behind to-date target      RED &lt;50%, ORANGE 50-70%, YELLOW 70-85%</w:t>
      </w:r>
      <w:r>
        <w:rPr>
          <w:rFonts w:ascii="Courier New" w:cs="Courier New" w:eastAsia="Courier New" w:hAnsi="Courier New"/>
          <w:sz w:val="15"/>
          <w:szCs w:val="15"/>
        </w:rPr>
        <w:br/>
        <w:t xml:space="preserve">     A2 run rate misses annual plan</w:t>
      </w:r>
      <w:r>
        <w:rPr>
          <w:rFonts w:ascii="Courier New" w:cs="Courier New" w:eastAsia="Courier New" w:hAnsi="Courier New"/>
          <w:sz w:val="15"/>
          <w:szCs w:val="15"/>
        </w:rPr>
        <w:br/>
        <w:t xml:space="preserve">     A3 momentum reversing (month-on-month direction)</w:t>
      </w:r>
      <w:r>
        <w:rPr>
          <w:rFonts w:ascii="Courier New" w:cs="Courier New" w:eastAsia="Courier New" w:hAnsi="Courier New"/>
          <w:sz w:val="15"/>
          <w:szCs w:val="15"/>
        </w:rPr>
        <w:br/>
        <w:t xml:space="preserve">     A4 booking not converting to sale</w:t>
      </w:r>
      <w:r>
        <w:rPr>
          <w:rFonts w:ascii="Courier New" w:cs="Courier New" w:eastAsia="Courier New" w:hAnsi="Courier New"/>
          <w:sz w:val="15"/>
          <w:szCs w:val="15"/>
        </w:rPr>
        <w:br/>
        <w:t xml:space="preserve">     C1 visit pace ratio           RED &lt;0.60, ORANGE 0.60-0.80, YELLOW 0.80-0.95</w:t>
      </w:r>
      <w:r>
        <w:rPr>
          <w:rFonts w:ascii="Courier New" w:cs="Courier New" w:eastAsia="Courier New" w:hAnsi="Courier New"/>
          <w:sz w:val="15"/>
          <w:szCs w:val="15"/>
        </w:rPr>
        <w:br/>
        <w:t xml:space="preserve">        pace ratio = (visits done / annual required) / (elapsed share of year)</w:t>
      </w:r>
      <w:r>
        <w:rPr>
          <w:rFonts w:ascii="Courier New" w:cs="Courier New" w:eastAsia="Courier New" w:hAnsi="Courier New"/>
          <w:sz w:val="15"/>
          <w:szCs w:val="15"/>
        </w:rPr>
        <w:br/>
        <w:t xml:space="preserve">     C2 visit productivity falling</w:t>
      </w:r>
      <w:r>
        <w:rPr>
          <w:rFonts w:ascii="Courier New" w:cs="Courier New" w:eastAsia="Courier New" w:hAnsi="Courier New"/>
          <w:sz w:val="15"/>
          <w:szCs w:val="15"/>
        </w:rPr>
        <w:br/>
        <w:t xml:space="preserve">     C3 visits converting nothing</w:t>
      </w:r>
      <w:r>
        <w:rPr>
          <w:rFonts w:ascii="Courier New" w:cs="Courier New" w:eastAsia="Courier New" w:hAnsi="Courier New"/>
          <w:sz w:val="15"/>
          <w:szCs w:val="15"/>
        </w:rPr>
        <w:br/>
        <w:t xml:space="preserve">     D1 unassigned share           RED &gt;=50%, ORANGE 35-50%, YELLOW 20-35%</w:t>
      </w:r>
      <w:r>
        <w:rPr>
          <w:rFonts w:ascii="Courier New" w:cs="Courier New" w:eastAsia="Courier New" w:hAnsi="Courier New"/>
          <w:sz w:val="15"/>
          <w:szCs w:val="15"/>
        </w:rPr>
        <w:br/>
        <w:t xml:space="preserve">     D2 visits spent on unassigned retailers</w:t>
      </w:r>
      <w:r>
        <w:rPr>
          <w:rFonts w:ascii="Courier New" w:cs="Courier New" w:eastAsia="Courier New" w:hAnsi="Courier New"/>
          <w:sz w:val="15"/>
          <w:szCs w:val="15"/>
        </w:rPr>
        <w:br/>
        <w:t xml:space="preserve">     D3 district has retailers but no distributor</w:t>
      </w:r>
      <w:r>
        <w:rPr>
          <w:rFonts w:ascii="Courier New" w:cs="Courier New" w:eastAsia="Courier New" w:hAnsi="Courier New"/>
          <w:sz w:val="15"/>
          <w:szCs w:val="15"/>
        </w:rPr>
        <w:br/>
        <w:t xml:space="preserve">     E1 at-risk value              RED &gt;=25% of prior-year value, ORANGE 15-25%,</w:t>
      </w:r>
      <w:r>
        <w:rPr>
          <w:rFonts w:ascii="Courier New" w:cs="Courier New" w:eastAsia="Courier New" w:hAnsi="Courier New"/>
          <w:sz w:val="15"/>
          <w:szCs w:val="15"/>
        </w:rPr>
        <w:br/>
        <w:t xml:space="preserve">                                   YELLOW 8-15%</w:t>
      </w:r>
      <w:r>
        <w:rPr>
          <w:rFonts w:ascii="Courier New" w:cs="Courier New" w:eastAsia="Courier New" w:hAnsi="Courier New"/>
          <w:sz w:val="15"/>
          <w:szCs w:val="15"/>
        </w:rPr>
        <w:br/>
        <w:t xml:space="preserve">     E2 dormancy rising, E3 no new business, E4 never-bought being visited</w:t>
      </w:r>
      <w:r>
        <w:rPr>
          <w:rFonts w:ascii="Courier New" w:cs="Courier New" w:eastAsia="Courier New" w:hAnsi="Courier New"/>
          <w:sz w:val="15"/>
          <w:szCs w:val="15"/>
        </w:rPr>
        <w:br/>
        <w:t xml:space="preserve">     G1 effective retailers        RED &lt;5, ORANGE 5-10, YELLOW 10-20</w:t>
      </w:r>
      <w:r>
        <w:rPr>
          <w:rFonts w:ascii="Courier New" w:cs="Courier New" w:eastAsia="Courier New" w:hAnsi="Courier New"/>
          <w:sz w:val="15"/>
          <w:szCs w:val="15"/>
        </w:rPr>
        <w:br/>
        <w:t xml:space="preserve">     I1 cost ratio drifting, I2 cost per visit rising</w:t>
      </w:r>
      <w:r>
        <w:rPr>
          <w:rFonts w:ascii="Courier New" w:cs="Courier New" w:eastAsia="Courier New" w:hAnsi="Courier New"/>
          <w:sz w:val="15"/>
          <w:szCs w:val="15"/>
        </w:rPr>
        <w:br/>
        <w:t xml:space="preserve">     J1 to J5 data-quality warnings - these must be VISIBLE, never silent</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6. DRILL-DOWN: State Head -&gt; Salesperson -&gt; that salesperson's retailers. Each level</w:t>
      </w:r>
      <w:r>
        <w:rPr>
          <w:rFonts w:ascii="Courier New" w:cs="Courier New" w:eastAsia="Courier New" w:hAnsi="Courier New"/>
          <w:sz w:val="15"/>
          <w:szCs w:val="15"/>
        </w:rPr>
        <w:br/>
        <w:t xml:space="preserve">   shows its own warnings plus a roll-up count from the level beneath. A head's card</w:t>
      </w:r>
      <w:r>
        <w:rPr>
          <w:rFonts w:ascii="Courier New" w:cs="Courier New" w:eastAsia="Courier New" w:hAnsi="Courier New"/>
          <w:sz w:val="15"/>
          <w:szCs w:val="15"/>
        </w:rPr>
        <w:br/>
        <w:t xml:space="preserve">   must distinguish 'my own warning' from 'warnings among my members'.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7. EVERY WARNING CARD SHOWS: the metric value, the threshold it crossed, the trend,</w:t>
      </w:r>
      <w:r>
        <w:rPr>
          <w:rFonts w:ascii="Courier New" w:cs="Courier New" w:eastAsia="Courier New" w:hAnsi="Courier New"/>
          <w:sz w:val="15"/>
          <w:szCs w:val="15"/>
        </w:rPr>
        <w:br/>
        <w:t xml:space="preserve">   the source of the figure, and the suggested action. A colour with no number behind</w:t>
      </w:r>
      <w:r>
        <w:rPr>
          <w:rFonts w:ascii="Courier New" w:cs="Courier New" w:eastAsia="Courier New" w:hAnsi="Courier New"/>
          <w:sz w:val="15"/>
          <w:szCs w:val="15"/>
        </w:rPr>
        <w:br/>
        <w:t xml:space="preserve">   it cannot be argued with and will be ignored.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 - State Head 'Anant Singh', FY2026-27, data to 30 June 2026. Prove each</w:t>
      </w:r>
      <w:r>
        <w:rPr>
          <w:rFonts w:ascii="Courier New" w:cs="Courier New" w:eastAsia="Courier New" w:hAnsi="Courier New"/>
          <w:sz w:val="15"/>
          <w:szCs w:val="15"/>
        </w:rPr>
        <w:br/>
        <w:t xml:space="preserve">with the computed value, never an assertion of success:</w:t>
      </w:r>
      <w:r>
        <w:rPr>
          <w:rFonts w:ascii="Courier New" w:cs="Courier New" w:eastAsia="Courier New" w:hAnsi="Courier New"/>
          <w:sz w:val="15"/>
          <w:szCs w:val="15"/>
        </w:rPr>
        <w:br/>
        <w:t xml:space="preserve">  Ravinder Puri (88.0% achievement, pace 0.76, 27% unassigned) fires NO red</w:t>
      </w:r>
      <w:r>
        <w:rPr>
          <w:rFonts w:ascii="Courier New" w:cs="Courier New" w:eastAsia="Courier New" w:hAnsi="Courier New"/>
          <w:sz w:val="15"/>
          <w:szCs w:val="15"/>
        </w:rPr>
        <w:br/>
        <w:t xml:space="preserve">  Jagdev fires RED on A1 (44.8%), C1 (pace 0.52) and D1 (52% unassigned)</w:t>
      </w:r>
      <w:r>
        <w:rPr>
          <w:rFonts w:ascii="Courier New" w:cs="Courier New" w:eastAsia="Courier New" w:hAnsi="Courier New"/>
          <w:sz w:val="15"/>
          <w:szCs w:val="15"/>
        </w:rPr>
        <w:br/>
        <w:t xml:space="preserve">  Rahul Singh shows ONE root warning - D1 at 92% unassigned - with his downstream</w:t>
      </w:r>
      <w:r>
        <w:rPr>
          <w:rFonts w:ascii="Courier New" w:cs="Courier New" w:eastAsia="Courier New" w:hAnsi="Courier New"/>
          <w:sz w:val="15"/>
          <w:szCs w:val="15"/>
        </w:rPr>
        <w:br/>
        <w:t xml:space="preserve">    warnings collapsed and counted, plus J3 partial tenure (11 working days)</w:t>
      </w:r>
      <w:r>
        <w:rPr>
          <w:rFonts w:ascii="Courier New" w:cs="Courier New" w:eastAsia="Courier New" w:hAnsi="Courier New"/>
          <w:sz w:val="15"/>
          <w:szCs w:val="15"/>
        </w:rPr>
        <w:br/>
        <w:t xml:space="preserve">  Ravi (Faridabad) shows D1 at 79% and J3, and does NOT show a red visit warning,</w:t>
      </w:r>
      <w:r>
        <w:rPr>
          <w:rFonts w:ascii="Courier New" w:cs="Courier New" w:eastAsia="Courier New" w:hAnsi="Courier New"/>
          <w:sz w:val="15"/>
          <w:szCs w:val="15"/>
        </w:rPr>
        <w:br/>
        <w:t xml:space="preserve">    because he has no annual visit requirement recorded - show 'not recorded'</w:t>
      </w:r>
      <w:r>
        <w:rPr>
          <w:rFonts w:ascii="Courier New" w:cs="Courier New" w:eastAsia="Courier New" w:hAnsi="Courier New"/>
          <w:sz w:val="15"/>
          <w:szCs w:val="15"/>
        </w:rPr>
        <w:br/>
        <w:t xml:space="preserve">  Prasun Chatterjee fires ORANGE on D1 (41%, 30 of 73) and G1 (effective retailers</w:t>
      </w:r>
      <w:r>
        <w:rPr>
          <w:rFonts w:ascii="Courier New" w:cs="Courier New" w:eastAsia="Courier New" w:hAnsi="Courier New"/>
          <w:sz w:val="15"/>
          <w:szCs w:val="15"/>
        </w:rPr>
        <w:br/>
        <w:t xml:space="preserve">    9.9), YELLOW on C1 (pace 0.92)</w:t>
      </w:r>
      <w:r>
        <w:rPr>
          <w:rFonts w:ascii="Courier New" w:cs="Courier New" w:eastAsia="Courier New" w:hAnsi="Courier New"/>
          <w:sz w:val="15"/>
          <w:szCs w:val="15"/>
        </w:rPr>
        <w:br/>
        <w:t xml:space="preserve">  the team card reports 381 unassigned retailers and 828 visits spent on them</w:t>
      </w:r>
      <w:r>
        <w:rPr>
          <w:rFonts w:ascii="Courier New" w:cs="Courier New" w:eastAsia="Courier New" w:hAnsi="Courier New"/>
          <w:sz w:val="15"/>
          <w:szCs w:val="15"/>
        </w:rPr>
        <w:br/>
        <w:t xml:space="preserve">  no member shows a green all-clear while carrying a J-family flag</w:t>
      </w:r>
      <w:r>
        <w:rPr>
          <w:rFonts w:ascii="Courier New" w:cs="Courier New" w:eastAsia="Courier New" w:hAnsi="Courier New"/>
          <w:sz w:val="15"/>
          <w:szCs w:val="15"/>
        </w:rPr>
        <w:br/>
        <w:t xml:space="preserve">  every card displays its metric value and threshold</w:t>
      </w:r>
    </w:p>
    <w:p>
      <w:pPr>
        <w:pStyle w:val="Heading1"/>
        <w:spacing w:after="100" w:before="240"/>
      </w:pPr>
      <w:r>
        <w:rPr>
          <w:b/>
          <w:bCs/>
        </w:rPr>
        <w:t xml:space="preserve">Prompt W2 - the Distributors tab</w:t>
      </w:r>
    </w:p>
    <w:p>
      <w:pPr>
        <w:spacing w:after="20" w:before="100"/>
      </w:pPr>
      <w:r>
        <w:rPr>
          <w:b/>
          <w:bCs/>
          <w:i/>
          <w:iCs/>
          <w:color w:val="444444"/>
        </w:rPr>
        <w:t xml:space="preserve">PROMPT - W2</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Warning System, Phase W2. Same global rules. Send after W1 is verified.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BUILD THE DISTRIBUTORS TAB. Hierarchy: Distributor -&gt; Retailer. Before building,</w:t>
      </w:r>
      <w:r>
        <w:rPr>
          <w:rFonts w:ascii="Courier New" w:cs="Courier New" w:eastAsia="Courier New" w:hAnsi="Courier New"/>
          <w:sz w:val="15"/>
          <w:szCs w:val="15"/>
        </w:rPr>
        <w:br/>
        <w:t xml:space="preserve">   confirm whether a genuine sub-dealer level exists between them and where it is</w:t>
      </w:r>
      <w:r>
        <w:rPr>
          <w:rFonts w:ascii="Courier New" w:cs="Courier New" w:eastAsia="Courier New" w:hAnsi="Courier New"/>
          <w:sz w:val="15"/>
          <w:szCs w:val="15"/>
        </w:rPr>
        <w:br/>
        <w:t xml:space="preserve">   recorded. In the current data it does not: each retailer carries an Assigned</w:t>
      </w:r>
      <w:r>
        <w:rPr>
          <w:rFonts w:ascii="Courier New" w:cs="Courier New" w:eastAsia="Courier New" w:hAnsi="Courier New"/>
          <w:sz w:val="15"/>
          <w:szCs w:val="15"/>
        </w:rPr>
        <w:br/>
        <w:t xml:space="preserve">   Distributor, and the column headed 'Total Dealer' counts retail outlets. Direct</w:t>
      </w:r>
      <w:r>
        <w:rPr>
          <w:rFonts w:ascii="Courier New" w:cs="Courier New" w:eastAsia="Courier New" w:hAnsi="Courier New"/>
          <w:sz w:val="15"/>
          <w:szCs w:val="15"/>
        </w:rPr>
        <w:br/>
        <w:t xml:space="preserve">   dealers are a PARALLEL branch under the State Head, never beneath a distributor.</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WARNINGS at distributor level: A1 to A4, C4 order recency, C5 order frequency,</w:t>
      </w:r>
      <w:r>
        <w:rPr>
          <w:rFonts w:ascii="Courier New" w:cs="Courier New" w:eastAsia="Courier New" w:hAnsi="Courier New"/>
          <w:sz w:val="15"/>
          <w:szCs w:val="15"/>
        </w:rPr>
        <w:br/>
        <w:t xml:space="preserve">   E1 at-risk retailers beneath them, G2 single-distributor dependency, G3 the</w:t>
      </w:r>
      <w:r>
        <w:rPr>
          <w:rFonts w:ascii="Courier New" w:cs="Courier New" w:eastAsia="Courier New" w:hAnsi="Courier New"/>
          <w:sz w:val="15"/>
          <w:szCs w:val="15"/>
        </w:rPr>
        <w:br/>
        <w:t xml:space="preserve">   distributor's own retailer concentration, H1 flow gap, H2 fill rate, H3 gone quiet.</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THE FLOW GAP (H1) must state BOTH readings every time - stock building at the</w:t>
      </w:r>
      <w:r>
        <w:rPr>
          <w:rFonts w:ascii="Courier New" w:cs="Courier New" w:eastAsia="Courier New" w:hAnsi="Courier New"/>
          <w:sz w:val="15"/>
          <w:szCs w:val="15"/>
        </w:rPr>
        <w:br/>
        <w:t xml:space="preserve">   distributor, or business moving outside the attributed channel. They are</w:t>
      </w:r>
      <w:r>
        <w:rPr>
          <w:rFonts w:ascii="Courier New" w:cs="Courier New" w:eastAsia="Courier New" w:hAnsi="Courier New"/>
          <w:sz w:val="15"/>
          <w:szCs w:val="15"/>
        </w:rPr>
        <w:br/>
        <w:t xml:space="preserve">   indistinguishable in this data because no distributor stock statements exist.</w:t>
      </w:r>
      <w:r>
        <w:rPr>
          <w:rFonts w:ascii="Courier New" w:cs="Courier New" w:eastAsia="Courier New" w:hAnsi="Courier New"/>
          <w:sz w:val="15"/>
          <w:szCs w:val="15"/>
        </w:rPr>
        <w:br/>
        <w:t xml:space="preserve">   Never phrase it as an accusation.</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TERRITORY WARNINGS: a district with retailers and no distributor is a COVERAGE gap;</w:t>
      </w:r>
      <w:r>
        <w:rPr>
          <w:rFonts w:ascii="Courier New" w:cs="Courier New" w:eastAsia="Courier New" w:hAnsi="Courier New"/>
          <w:sz w:val="15"/>
          <w:szCs w:val="15"/>
        </w:rPr>
        <w:br/>
        <w:t xml:space="preserve">   retailers unassigned in a district that already has one is an ASSIGNMENT gap. These</w:t>
      </w:r>
      <w:r>
        <w:rPr>
          <w:rFonts w:ascii="Courier New" w:cs="Courier New" w:eastAsia="Courier New" w:hAnsi="Courier New"/>
          <w:sz w:val="15"/>
          <w:szCs w:val="15"/>
        </w:rPr>
        <w:br/>
        <w:t xml:space="preserve">   have completely different fixes and must never be merged into one number.</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 - Anant Singh territory, FY2026-27:</w:t>
      </w:r>
      <w:r>
        <w:rPr>
          <w:rFonts w:ascii="Courier New" w:cs="Courier New" w:eastAsia="Courier New" w:hAnsi="Courier New"/>
          <w:sz w:val="15"/>
          <w:szCs w:val="15"/>
        </w:rPr>
        <w:br/>
        <w:t xml:space="preserve">  41 named distributors are listed across the eleven mapped members</w:t>
      </w:r>
      <w:r>
        <w:rPr>
          <w:rFonts w:ascii="Courier New" w:cs="Courier New" w:eastAsia="Courier New" w:hAnsi="Courier New"/>
          <w:sz w:val="15"/>
          <w:szCs w:val="15"/>
        </w:rPr>
        <w:br/>
        <w:t xml:space="preserve">  Jagdamba Traders fires G2 for carrying 86.1 per cent of party order booking in</w:t>
      </w:r>
      <w:r>
        <w:rPr>
          <w:rFonts w:ascii="Courier New" w:cs="Courier New" w:eastAsia="Courier New" w:hAnsi="Courier New"/>
          <w:sz w:val="15"/>
          <w:szCs w:val="15"/>
        </w:rPr>
        <w:br/>
        <w:t xml:space="preserve">    Prasun Chatterjee's territory</w:t>
      </w:r>
      <w:r>
        <w:rPr>
          <w:rFonts w:ascii="Courier New" w:cs="Courier New" w:eastAsia="Courier New" w:hAnsi="Courier New"/>
          <w:sz w:val="15"/>
          <w:szCs w:val="15"/>
        </w:rPr>
        <w:br/>
        <w:t xml:space="preserve">  the direct-dealer branch (26 retailers, Rs 14.49 L) appears PARALLEL to distributors,</w:t>
      </w:r>
      <w:r>
        <w:rPr>
          <w:rFonts w:ascii="Courier New" w:cs="Courier New" w:eastAsia="Courier New" w:hAnsi="Courier New"/>
          <w:sz w:val="15"/>
          <w:szCs w:val="15"/>
        </w:rPr>
        <w:br/>
        <w:t xml:space="preserve">    not beneath one</w:t>
      </w:r>
      <w:r>
        <w:rPr>
          <w:rFonts w:ascii="Courier New" w:cs="Courier New" w:eastAsia="Courier New" w:hAnsi="Courier New"/>
          <w:sz w:val="15"/>
          <w:szCs w:val="15"/>
        </w:rPr>
        <w:br/>
        <w:t xml:space="preserve">  the 381 unassigned retailers appear as an assignment gap, separate from any</w:t>
      </w:r>
      <w:r>
        <w:rPr>
          <w:rFonts w:ascii="Courier New" w:cs="Courier New" w:eastAsia="Courier New" w:hAnsi="Courier New"/>
          <w:sz w:val="15"/>
          <w:szCs w:val="15"/>
        </w:rPr>
        <w:br/>
        <w:t xml:space="preserve">    coverage gap</w:t>
      </w:r>
      <w:r>
        <w:rPr>
          <w:rFonts w:ascii="Courier New" w:cs="Courier New" w:eastAsia="Courier New" w:hAnsi="Courier New"/>
          <w:sz w:val="15"/>
          <w:szCs w:val="15"/>
        </w:rPr>
        <w:br/>
        <w:t xml:space="preserve">  distributors running behind the elapsed-period run rate are flagged - Dreamwall</w:t>
      </w:r>
      <w:r>
        <w:rPr>
          <w:rFonts w:ascii="Courier New" w:cs="Courier New" w:eastAsia="Courier New" w:hAnsi="Courier New"/>
          <w:sz w:val="15"/>
          <w:szCs w:val="15"/>
        </w:rPr>
        <w:br/>
        <w:t xml:space="preserve">    colours at 24.6 per cent of prior-year value against 25 per cent elapsed</w:t>
      </w:r>
      <w:r>
        <w:rPr>
          <w:rFonts w:ascii="Courier New" w:cs="Courier New" w:eastAsia="Courier New" w:hAnsi="Courier New"/>
          <w:sz w:val="15"/>
          <w:szCs w:val="15"/>
        </w:rPr>
        <w:br/>
        <w:t xml:space="preserve">  no warning phrases the flow gap as diversion</w:t>
      </w:r>
    </w:p>
    <w:p>
      <w:pPr>
        <w:pStyle w:val="Heading1"/>
        <w:spacing w:after="100" w:before="240"/>
      </w:pPr>
      <w:r>
        <w:rPr>
          <w:b/>
          <w:bCs/>
        </w:rPr>
        <w:t xml:space="preserve">Prompt W3 - real value and variety</w:t>
      </w:r>
    </w:p>
    <w:p>
      <w:pPr>
        <w:spacing w:after="20" w:before="100"/>
      </w:pPr>
      <w:r>
        <w:rPr>
          <w:b/>
          <w:bCs/>
          <w:i/>
          <w:iCs/>
          <w:color w:val="444444"/>
        </w:rPr>
        <w:t xml:space="preserve">PROMPT - W3</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Warning System, Phase W3. Same global rules. Send after W2.</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These two families depend on the secondary register and the price index, so they</w:t>
      </w:r>
      <w:r>
        <w:rPr>
          <w:rFonts w:ascii="Courier New" w:cs="Courier New" w:eastAsia="Courier New" w:hAnsi="Courier New"/>
          <w:sz w:val="15"/>
          <w:szCs w:val="15"/>
        </w:rPr>
        <w:br/>
        <w:t xml:space="preserve">behave differently from every other warning on the page.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REAL VALUE (family B). Use the EXISTING Laspeyres multiplier from</w:t>
      </w:r>
      <w:r>
        <w:rPr>
          <w:rFonts w:ascii="Courier New" w:cs="Courier New" w:eastAsia="Courier New" w:hAnsi="Courier New"/>
          <w:sz w:val="15"/>
          <w:szCs w:val="15"/>
        </w:rPr>
        <w:br/>
        <w:t xml:space="preserve">   lib/customers/laspeyres.ts - do not compute a new index.</w:t>
      </w:r>
      <w:r>
        <w:rPr>
          <w:rFonts w:ascii="Courier New" w:cs="Courier New" w:eastAsia="Courier New" w:hAnsi="Courier New"/>
          <w:sz w:val="15"/>
          <w:szCs w:val="15"/>
        </w:rPr>
        <w:br/>
        <w:t xml:space="preserve">     B1 real-terms decline: nominal growth below the applicable price effect. Company</w:t>
      </w:r>
      <w:r>
        <w:rPr>
          <w:rFonts w:ascii="Courier New" w:cs="Courier New" w:eastAsia="Courier New" w:hAnsi="Courier New"/>
          <w:sz w:val="15"/>
          <w:szCs w:val="15"/>
        </w:rPr>
        <w:br/>
        <w:t xml:space="preserve">        multiplier is 1.069, so +6.9 per cent nominal is standing still. Per segment</w:t>
      </w:r>
      <w:r>
        <w:rPr>
          <w:rFonts w:ascii="Courier New" w:cs="Courier New" w:eastAsia="Courier New" w:hAnsi="Courier New"/>
          <w:sz w:val="15"/>
          <w:szCs w:val="15"/>
        </w:rPr>
        <w:br/>
        <w:t xml:space="preserve">        the break-even differs sharply: water tank +18.1 per cent, cistern +12.5,</w:t>
      </w:r>
      <w:r>
        <w:rPr>
          <w:rFonts w:ascii="Courier New" w:cs="Courier New" w:eastAsia="Courier New" w:hAnsi="Courier New"/>
          <w:sz w:val="15"/>
          <w:szCs w:val="15"/>
        </w:rPr>
        <w:br/>
        <w:t xml:space="preserve">        CP +11.3, sanitaryware +8.9, PTMT +4.7, CPVC +0.7.</w:t>
      </w:r>
      <w:r>
        <w:rPr>
          <w:rFonts w:ascii="Courier New" w:cs="Courier New" w:eastAsia="Courier New" w:hAnsi="Courier New"/>
          <w:sz w:val="15"/>
          <w:szCs w:val="15"/>
        </w:rPr>
        <w:br/>
        <w:t xml:space="preserve">     B2 volume falling behind value: quantity down while value up.</w:t>
      </w:r>
      <w:r>
        <w:rPr>
          <w:rFonts w:ascii="Courier New" w:cs="Courier New" w:eastAsia="Courier New" w:hAnsi="Courier New"/>
          <w:sz w:val="15"/>
          <w:szCs w:val="15"/>
        </w:rPr>
        <w:br/>
        <w:t xml:space="preserve">     B3 realised price eroding.</w:t>
      </w:r>
      <w:r>
        <w:rPr>
          <w:rFonts w:ascii="Courier New" w:cs="Courier New" w:eastAsia="Courier New" w:hAnsi="Courier New"/>
          <w:sz w:val="15"/>
          <w:szCs w:val="15"/>
        </w:rPr>
        <w:br/>
        <w:t xml:space="preserve">   SHOW REAL AND NOMINAL SIDE BY SIDE, both labelled. A business up 10 per cent on</w:t>
      </w:r>
      <w:r>
        <w:rPr>
          <w:rFonts w:ascii="Courier New" w:cs="Courier New" w:eastAsia="Courier New" w:hAnsi="Courier New"/>
          <w:sz w:val="15"/>
          <w:szCs w:val="15"/>
        </w:rPr>
        <w:br/>
        <w:t xml:space="preserve">   water tanks is DOWN about 8 per cent in real terms, and only the second number</w:t>
      </w:r>
      <w:r>
        <w:rPr>
          <w:rFonts w:ascii="Courier New" w:cs="Courier New" w:eastAsia="Courier New" w:hAnsi="Courier New"/>
          <w:sz w:val="15"/>
          <w:szCs w:val="15"/>
        </w:rPr>
        <w:br/>
        <w:t xml:space="preserve">   tells the manager anything.</w:t>
      </w:r>
      <w:r>
        <w:rPr>
          <w:rFonts w:ascii="Courier New" w:cs="Courier New" w:eastAsia="Courier New" w:hAnsi="Courier New"/>
          <w:sz w:val="15"/>
          <w:szCs w:val="15"/>
        </w:rPr>
        <w:br/>
        <w:t xml:space="preserve">   B1 and B3 use different formulas - Laspeyres removes mix, realised price does not -</w:t>
      </w:r>
      <w:r>
        <w:rPr>
          <w:rFonts w:ascii="Courier New" w:cs="Courier New" w:eastAsia="Courier New" w:hAnsi="Courier New"/>
          <w:sz w:val="15"/>
          <w:szCs w:val="15"/>
        </w:rPr>
        <w:br/>
        <w:t xml:space="preserve">   so they must never be presented as comparable.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VARIETY (family F): F1 segment breadth, F2 SKU count, F3 cross-sell depth, F4 lost</w:t>
      </w:r>
      <w:r>
        <w:rPr>
          <w:rFonts w:ascii="Courier New" w:cs="Courier New" w:eastAsia="Courier New" w:hAnsi="Courier New"/>
          <w:sz w:val="15"/>
          <w:szCs w:val="15"/>
        </w:rPr>
        <w:br/>
        <w:t xml:space="preserve">   SKUs.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AVAILABILITY - the critical constraint. There is NO FY2026-27 secondary register,</w:t>
      </w:r>
      <w:r>
        <w:rPr>
          <w:rFonts w:ascii="Courier New" w:cs="Courier New" w:eastAsia="Courier New" w:hAnsi="Courier New"/>
          <w:sz w:val="15"/>
          <w:szCs w:val="15"/>
        </w:rPr>
        <w:br/>
        <w:t xml:space="preserve">   so item-code, segment and discount data do not exist for the live year. Both</w:t>
      </w:r>
      <w:r>
        <w:rPr>
          <w:rFonts w:ascii="Courier New" w:cs="Courier New" w:eastAsia="Courier New" w:hAnsi="Courier New"/>
          <w:sz w:val="15"/>
          <w:szCs w:val="15"/>
        </w:rPr>
        <w:br/>
        <w:t xml:space="preserve">   families must show 'not available for the current year, because no FY2026-27</w:t>
      </w:r>
      <w:r>
        <w:rPr>
          <w:rFonts w:ascii="Courier New" w:cs="Courier New" w:eastAsia="Courier New" w:hAnsi="Courier New"/>
          <w:sz w:val="15"/>
          <w:szCs w:val="15"/>
        </w:rPr>
        <w:br/>
        <w:t xml:space="preserve">   secondary register exists' and offer the closed-year view instead.</w:t>
      </w:r>
      <w:r>
        <w:rPr>
          <w:rFonts w:ascii="Courier New" w:cs="Courier New" w:eastAsia="Courier New" w:hAnsi="Courier New"/>
          <w:sz w:val="15"/>
          <w:szCs w:val="15"/>
        </w:rPr>
        <w:br/>
        <w:t xml:space="preserve">   NEVER show zero, and NEVER show green. A silent all-clear on variety would be the</w:t>
      </w:r>
      <w:r>
        <w:rPr>
          <w:rFonts w:ascii="Courier New" w:cs="Courier New" w:eastAsia="Courier New" w:hAnsi="Courier New"/>
          <w:sz w:val="15"/>
          <w:szCs w:val="15"/>
        </w:rPr>
        <w:br/>
        <w:t xml:space="preserve">   most misleading state on this page.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w:t>
      </w:r>
      <w:r>
        <w:rPr>
          <w:rFonts w:ascii="Courier New" w:cs="Courier New" w:eastAsia="Courier New" w:hAnsi="Courier New"/>
          <w:sz w:val="15"/>
          <w:szCs w:val="15"/>
        </w:rPr>
        <w:br/>
        <w:t xml:space="preserve">  for FY2026-27, families B and F show the unavailability reason, not zeros or greens</w:t>
      </w:r>
      <w:r>
        <w:rPr>
          <w:rFonts w:ascii="Courier New" w:cs="Courier New" w:eastAsia="Courier New" w:hAnsi="Courier New"/>
          <w:sz w:val="15"/>
          <w:szCs w:val="15"/>
        </w:rPr>
        <w:br/>
        <w:t xml:space="preserve">  for FY2025-26, both families compute and are shown per segment</w:t>
      </w:r>
      <w:r>
        <w:rPr>
          <w:rFonts w:ascii="Courier New" w:cs="Courier New" w:eastAsia="Courier New" w:hAnsi="Courier New"/>
          <w:sz w:val="15"/>
          <w:szCs w:val="15"/>
        </w:rPr>
        <w:br/>
        <w:t xml:space="preserve">  a real-terms warning states nominal and real side by side with the multiplier used</w:t>
      </w:r>
      <w:r>
        <w:rPr>
          <w:rFonts w:ascii="Courier New" w:cs="Courier New" w:eastAsia="Courier New" w:hAnsi="Courier New"/>
          <w:sz w:val="15"/>
          <w:szCs w:val="15"/>
        </w:rPr>
        <w:br/>
        <w:t xml:space="preserve">  the water tank break-even of +18.1 per cent appears where water tanks are involved</w:t>
      </w:r>
      <w:r>
        <w:rPr>
          <w:rFonts w:ascii="Courier New" w:cs="Courier New" w:eastAsia="Courier New" w:hAnsi="Courier New"/>
          <w:sz w:val="15"/>
          <w:szCs w:val="15"/>
        </w:rPr>
        <w:br/>
        <w:t xml:space="preserve">  B1 and B3 are never shown as comparable measures</w:t>
      </w:r>
      <w:r>
        <w:rPr>
          <w:rFonts w:ascii="Courier New" w:cs="Courier New" w:eastAsia="Courier New" w:hAnsi="Courier New"/>
          <w:sz w:val="15"/>
          <w:szCs w:val="15"/>
        </w:rPr>
        <w:br/>
        <w:t xml:space="preserve">  every warning names the fiscal year its data comes from</w:t>
      </w:r>
    </w:p>
    <w:p>
      <w:pPr>
        <w:pStyle w:val="Heading1"/>
        <w:spacing w:after="100" w:before="240"/>
      </w:pPr>
      <w:r>
        <w:rPr>
          <w:b/>
          <w:bCs/>
        </w:rPr>
        <w:t xml:space="preserve">What to watch</w:t>
      </w:r>
    </w:p>
    <w:p>
      <w:pPr>
        <w:spacing w:after="40"/>
        <w:ind w:left="360"/>
      </w:pPr>
      <w:r>
        <w:t xml:space="preserve">- Alarm fatigue is the failure mode, not missing warnings. If the first build fires reds on most members, the suppression tree is not working - check it before touching thresholds.</w:t>
      </w:r>
    </w:p>
    <w:p>
      <w:pPr>
        <w:spacing w:after="40"/>
        <w:ind w:left="360"/>
      </w:pPr>
      <w:r>
        <w:t xml:space="preserve">- Never let a J-family flag produce a green. An unmeasured member showing no warnings looks healthier than a measured one that has some, which is exactly backwards.</w:t>
      </w:r>
    </w:p>
    <w:p>
      <w:pPr>
        <w:spacing w:after="40"/>
        <w:ind w:left="360"/>
      </w:pPr>
      <w:r>
        <w:t xml:space="preserve">- Variety warnings on the live year must be unavailable, not zero. This is the most likely place for a false all-clear to appear.</w:t>
      </w:r>
    </w:p>
    <w:p>
      <w:pPr>
        <w:spacing w:after="40"/>
        <w:ind w:left="360"/>
      </w:pPr>
      <w:r>
        <w:t xml:space="preserve">- Check that the real-terms warning uses the existing Laspeyres function. A fresh index would be a second source of truth for prices.</w:t>
      </w:r>
    </w:p>
    <w:p>
      <w:pPr>
        <w:spacing w:after="40"/>
        <w:ind w:left="360"/>
      </w:pPr>
      <w:r>
        <w:t xml:space="preserve">- The unassigned finding should be stated as a 19-fold difference in likelihood, not as an impossibility - 19 unassigned retailers did order. And the reverse-causation reading must be carried, because '--' may be written when a retailer goes dormant.</w:t>
      </w:r>
    </w:p>
    <w:p>
      <w:pPr>
        <w:spacing w:after="40"/>
        <w:ind w:left="360"/>
      </w:pPr>
      <w:r>
        <w:t xml:space="preserve">- Prove W1 on Anant Singh's eleven mapped members. Ravinder Puri firing nothing and Jagdev firing three reds is the calibration test - if everyone fires, the thresholds are wrong.</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 System</dc:title>
  <dc:creator>Prayag AI Team</dc:creator>
  <cp:lastModifiedBy>Un-named</cp:lastModifiedBy>
  <cp:revision>1</cp:revision>
  <dcterms:created xsi:type="dcterms:W3CDTF">2026-07-26T08:30:52.831Z</dcterms:created>
  <dcterms:modified xsi:type="dcterms:W3CDTF">2026-07-26T08:30:52.842Z</dcterms:modified>
</cp:coreProperties>
</file>

<file path=docProps/custom.xml><?xml version="1.0" encoding="utf-8"?>
<Properties xmlns="http://schemas.openxmlformats.org/officeDocument/2006/custom-properties" xmlns:vt="http://schemas.openxmlformats.org/officeDocument/2006/docPropsVTypes"/>
</file>