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0"/>
          <w:szCs w:val="40"/>
        </w:rPr>
        <w:t xml:space="preserve">AI Reports - How It Works</w:t>
      </w:r>
    </w:p>
    <w:p>
      <w:pPr>
        <w:spacing w:after="300"/>
        <w:jc w:val="center"/>
      </w:pPr>
      <w:r>
        <w:rPr>
          <w:color w:val="666666"/>
          <w:sz w:val="22"/>
          <w:szCs w:val="22"/>
        </w:rPr>
        <w:t xml:space="preserve">Prayag India Sales Intelligence · August 2026</w:t>
      </w:r>
    </w:p>
    <w:p>
      <w:pPr>
        <w:pStyle w:val="Heading1"/>
        <w:spacing w:after="200"/>
      </w:pPr>
      <w:r>
        <w:t xml:space="preserve">What it is</w:t>
      </w:r>
    </w:p>
    <w:p>
      <w:pPr>
        <w:spacing w:after="120"/>
      </w:pPr>
      <w:r>
        <w:rPr>
          <w:sz w:val="22"/>
          <w:szCs w:val="22"/>
        </w:rPr>
        <w:t xml:space="preserve">AI Reports (Dashboard &gt; AI Reports) turns the app's verified data into finished written documents: performance reports, suggestions, travel plans, performance reviews, and full presentation decks - for a State Head, a team member, or a distributor network.</w:t>
      </w:r>
    </w:p>
    <w:p>
      <w:pPr>
        <w:pStyle w:val="Heading1"/>
        <w:spacing w:after="200"/>
      </w:pPr>
      <w:r>
        <w:t xml:space="preserve">How it works, step by step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1. You choose who the report is about (State Head or member), the financial year, and the period (month, quarter, year-to-date or full year).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2. The app builds a verified data payload for that selection: performance (order booking, direct dealer, sales received), targets and achievement, retailer coverage (active / dormant / non-visited), customer states (retained, reactivated, at risk, never ordered), visit patterns and distance bands, capacity projections, and prior-year history. For distributor reports it adds channel structure, per-distributor tiers (A/B/C), flow gaps, discounts, and whitespace (districts with retailers but no distributor).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3. The AI (Anthropic's Claude model) writes the document using ONLY figures present in that payload, citing the exact data field after every number.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4. The numeric guard checks every number in the output against the payload. Anything unmatched is flagged 'requires review' and shown to you.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5. The result is displayed with charts (bar and pie charts of achievement, coverage and customer states) and can be downloaded as a PDF; the period covered is stamped in the document and in the file name. If the data's period does not match your selection, a warning banner says so.</w:t>
      </w:r>
    </w:p>
    <w:p>
      <w:pPr>
        <w:pStyle w:val="Heading1"/>
        <w:spacing w:after="200"/>
      </w:pPr>
      <w:r>
        <w:t xml:space="preserve">The document types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State Head report - narrative performance report for a State Head's whole team.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Member report - the same for one salesperson.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Suggestions - concrete recommended actions based on the payload.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Travel plan - a visit plan built from retailer distances and visit capacity.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Performance review - a structured review document for a person.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Presentation - a full 27-slide deck generated in one run.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Distributor versions - each of the above also exists for the distributor network view (distributor report, distributor suggestions, distributor review, distributor presentation).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Batch mode - generate reports for many people in one go; results are cached (1 hour for the open year, 24 hours for closed years) so re-runs are instant.</w:t>
      </w:r>
    </w:p>
    <w:p>
      <w:pPr>
        <w:pStyle w:val="Heading1"/>
        <w:spacing w:after="200"/>
      </w:pPr>
      <w:r>
        <w:t xml:space="preserve">Capabilities and guarantees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No invented numbers: the AI may not compute or estimate figures - if a number is not in the verified payload it must say the data is unavailable.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Data-quality caveats are placed in the same sentence as the affected figure, not hidden in footnotes.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Period honesty: every report states exactly which months it covers.</w:t>
      </w:r>
    </w:p>
    <w:p>
      <w:pPr>
        <w:pStyle w:val="Heading1"/>
        <w:spacing w:after="200"/>
      </w:pPr>
      <w:r>
        <w:t xml:space="preserve">Limits to be aware of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SKU/item-level breakdowns need a completed financial year - the report will say so for the open year.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 member without a working sheet gets a report with the relevant sections marked unavailable rather than guessed.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Reports describe and recommend - they never change data in the app.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2026-08-02T07:28:56.438Z</dcterms:created>
  <dcterms:modified xsi:type="dcterms:W3CDTF">2026-08-02T07:28:56.438Z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