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Prayag Production Analytics</w:t>
        <w:br/>
        <w:t>Freeze Through July Report</w:t>
      </w:r>
    </w:p>
    <w:p>
      <w:pPr>
        <w:jc w:val="center"/>
      </w:pPr>
      <w:r>
        <w:rPr>
          <w:b/>
          <w:sz w:val="20"/>
        </w:rPr>
        <w:t>HDPE May Production Preview · Existing Unfreeze Behaviour · Phase 2 Freeze Design</w:t>
      </w:r>
    </w:p>
    <w:p>
      <w:r>
        <w:rPr>
          <w:b/>
        </w:rPr>
        <w:t xml:space="preserve">Status: </w:t>
      </w:r>
      <w:r>
        <w:t>HDPE previewed in production; not confirmed or frozen. MOULDING not started. Part B is design only.</w:t>
      </w:r>
    </w:p>
    <w:p>
      <w:pPr>
        <w:pStyle w:val="Heading1"/>
      </w:pPr>
      <w:r>
        <w:t>1. HDPE May 2026 — Production Preview</w:t>
      </w:r>
    </w:p>
    <w:p>
      <w:r>
        <w:t>Two consecutive uncached previews ran through the published application and production database. The earlier workspace previews are superseded by these production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Check</w:t>
            </w:r>
          </w:p>
        </w:tc>
        <w:tc>
          <w:tcPr>
            <w:tcW w:type="dxa" w:w="3360"/>
          </w:tcPr>
          <w:p>
            <w:r>
              <w:t>Pass 1</w:t>
            </w:r>
          </w:p>
        </w:tc>
        <w:tc>
          <w:tcPr>
            <w:tcW w:type="dxa" w:w="3360"/>
          </w:tcPr>
          <w:p>
            <w:r>
              <w:t>Pass 2</w:t>
            </w:r>
          </w:p>
        </w:tc>
      </w:tr>
      <w:tr>
        <w:tc>
          <w:tcPr>
            <w:tcW w:type="dxa" w:w="3360"/>
            <w:vAlign w:val="center"/>
          </w:tcPr>
          <w:p>
            <w:r>
              <w:t>High-water</w:t>
            </w:r>
          </w:p>
        </w:tc>
        <w:tc>
          <w:tcPr>
            <w:tcW w:type="dxa" w:w="3360"/>
            <w:vAlign w:val="center"/>
          </w:tcPr>
          <w:p>
            <w:r>
              <w:t>1</w:t>
            </w:r>
          </w:p>
        </w:tc>
        <w:tc>
          <w:tcPr>
            <w:tcW w:type="dxa" w:w="3360"/>
            <w:vAlign w:val="center"/>
          </w:tcPr>
          <w:p>
            <w:r>
              <w:t>1</w:t>
            </w:r>
          </w:p>
        </w:tc>
      </w:tr>
      <w:tr>
        <w:tc>
          <w:tcPr>
            <w:tcW w:type="dxa" w:w="3360"/>
            <w:vAlign w:val="center"/>
          </w:tcPr>
          <w:p>
            <w:r>
              <w:t>Logical records</w:t>
            </w:r>
          </w:p>
        </w:tc>
        <w:tc>
          <w:tcPr>
            <w:tcW w:type="dxa" w:w="3360"/>
            <w:vAlign w:val="center"/>
          </w:tcPr>
          <w:p>
            <w:r>
              <w:t>1</w:t>
            </w:r>
          </w:p>
        </w:tc>
        <w:tc>
          <w:tcPr>
            <w:tcW w:type="dxa" w:w="3360"/>
            <w:vAlign w:val="center"/>
          </w:tcPr>
          <w:p>
            <w:r>
              <w:t>1</w:t>
            </w:r>
          </w:p>
        </w:tc>
      </w:tr>
      <w:tr>
        <w:tc>
          <w:tcPr>
            <w:tcW w:type="dxa" w:w="3360"/>
            <w:vAlign w:val="center"/>
          </w:tcPr>
          <w:p>
            <w:r>
              <w:t>Physical records</w:t>
            </w:r>
          </w:p>
        </w:tc>
        <w:tc>
          <w:tcPr>
            <w:tcW w:type="dxa" w:w="3360"/>
            <w:vAlign w:val="center"/>
          </w:tcPr>
          <w:p>
            <w:r>
              <w:t>1</w:t>
            </w:r>
          </w:p>
        </w:tc>
        <w:tc>
          <w:tcPr>
            <w:tcW w:type="dxa" w:w="3360"/>
            <w:vAlign w:val="center"/>
          </w:tcPr>
          <w:p>
            <w:r>
              <w:t>1</w:t>
            </w:r>
          </w:p>
        </w:tc>
      </w:tr>
      <w:tr>
        <w:tc>
          <w:tcPr>
            <w:tcW w:type="dxa" w:w="3360"/>
            <w:vAlign w:val="center"/>
          </w:tcPr>
          <w:p>
            <w:r>
              <w:t>Machines</w:t>
            </w:r>
          </w:p>
        </w:tc>
        <w:tc>
          <w:tcPr>
            <w:tcW w:type="dxa" w:w="3360"/>
            <w:vAlign w:val="center"/>
          </w:tcPr>
          <w:p>
            <w:r>
              <w:t>1</w:t>
            </w:r>
          </w:p>
        </w:tc>
        <w:tc>
          <w:tcPr>
            <w:tcW w:type="dxa" w:w="3360"/>
            <w:vAlign w:val="center"/>
          </w:tcPr>
          <w:p>
            <w:r>
              <w:t>1</w:t>
            </w:r>
          </w:p>
        </w:tc>
      </w:tr>
      <w:tr>
        <w:tc>
          <w:tcPr>
            <w:tcW w:type="dxa" w:w="3360"/>
            <w:vAlign w:val="center"/>
          </w:tcPr>
          <w:p>
            <w:r>
              <w:t>Date coverage</w:t>
            </w:r>
          </w:p>
        </w:tc>
        <w:tc>
          <w:tcPr>
            <w:tcW w:type="dxa" w:w="3360"/>
            <w:vAlign w:val="center"/>
          </w:tcPr>
          <w:p>
            <w:r>
              <w:t>1 May 2026</w:t>
            </w:r>
          </w:p>
        </w:tc>
        <w:tc>
          <w:tcPr>
            <w:tcW w:type="dxa" w:w="3360"/>
            <w:vAlign w:val="center"/>
          </w:tcPr>
          <w:p>
            <w:r>
              <w:t>1 May 2026</w:t>
            </w:r>
          </w:p>
        </w:tc>
      </w:tr>
      <w:tr>
        <w:tc>
          <w:tcPr>
            <w:tcW w:type="dxa" w:w="3360"/>
            <w:vAlign w:val="center"/>
          </w:tcPr>
          <w:p>
            <w:r>
              <w:t>Output</w:t>
            </w:r>
          </w:p>
        </w:tc>
        <w:tc>
          <w:tcPr>
            <w:tcW w:type="dxa" w:w="3360"/>
            <w:vAlign w:val="center"/>
          </w:tcPr>
          <w:p>
            <w:r>
              <w:t>1,369.2 kg</w:t>
            </w:r>
          </w:p>
        </w:tc>
        <w:tc>
          <w:tcPr>
            <w:tcW w:type="dxa" w:w="3360"/>
            <w:vAlign w:val="center"/>
          </w:tcPr>
          <w:p>
            <w:r>
              <w:t>1,369.2 kg</w:t>
            </w:r>
          </w:p>
        </w:tc>
      </w:tr>
      <w:tr>
        <w:tc>
          <w:tcPr>
            <w:tcW w:type="dxa" w:w="3360"/>
            <w:vAlign w:val="center"/>
          </w:tcPr>
          <w:p>
            <w:r>
              <w:t>Rejection</w:t>
            </w:r>
          </w:p>
        </w:tc>
        <w:tc>
          <w:tcPr>
            <w:tcW w:type="dxa" w:w="3360"/>
            <w:vAlign w:val="center"/>
          </w:tcPr>
          <w:p>
            <w:r>
              <w:t>120 kg</w:t>
            </w:r>
          </w:p>
        </w:tc>
        <w:tc>
          <w:tcPr>
            <w:tcW w:type="dxa" w:w="3360"/>
            <w:vAlign w:val="center"/>
          </w:tcPr>
          <w:p>
            <w:r>
              <w:t>120 kg</w:t>
            </w:r>
          </w:p>
        </w:tc>
      </w:tr>
      <w:tr>
        <w:tc>
          <w:tcPr>
            <w:tcW w:type="dxa" w:w="3360"/>
            <w:vAlign w:val="center"/>
          </w:tcPr>
          <w:p>
            <w:r>
              <w:t>Run hours</w:t>
            </w:r>
          </w:p>
        </w:tc>
        <w:tc>
          <w:tcPr>
            <w:tcW w:type="dxa" w:w="3360"/>
            <w:vAlign w:val="center"/>
          </w:tcPr>
          <w:p>
            <w:r>
              <w:t>21</w:t>
            </w:r>
          </w:p>
        </w:tc>
        <w:tc>
          <w:tcPr>
            <w:tcW w:type="dxa" w:w="3360"/>
            <w:vAlign w:val="center"/>
          </w:tcPr>
          <w:p>
            <w:r>
              <w:t>21</w:t>
            </w:r>
          </w:p>
        </w:tc>
      </w:tr>
    </w:tbl>
    <w:p>
      <w:r>
        <w:rPr>
          <w:b/>
        </w:rPr>
        <w:t xml:space="preserve">Logical fingerprint, both passes: </w:t>
      </w:r>
      <w:r>
        <w:t>8b89589438f0be49ad9c0369b699077afccbabb24d85e92a8672eb9974a15b6e</w:t>
      </w:r>
    </w:p>
    <w:p>
      <w:r>
        <w:rPr>
          <w:b/>
        </w:rPr>
        <w:t xml:space="preserve">Physical fingerprint, both passes: </w:t>
      </w:r>
      <w:r>
        <w:t>8b89589438f0be49ad9c0369b699077afccbabb24d85e92a8672eb9974a15b6e</w:t>
      </w:r>
    </w:p>
    <w:p>
      <w:pPr>
        <w:pStyle w:val="ListBullet"/>
      </w:pPr>
      <w:r>
        <w:t>Both production preview payloads match exactly.</w:t>
      </w:r>
    </w:p>
    <w:p>
      <w:pPr>
        <w:pStyle w:val="ListBullet"/>
      </w:pPr>
      <w:r>
        <w:t>Only the HDPE emitter was selected.</w:t>
      </w:r>
    </w:p>
    <w:p>
      <w:pPr>
        <w:pStyle w:val="ListBullet"/>
      </w:pPr>
      <w:r>
        <w:t>The one-record/high-water-one gate passed.</w:t>
      </w:r>
    </w:p>
    <w:p>
      <w:pPr>
        <w:pStyle w:val="ListBullet"/>
      </w:pPr>
      <w:r>
        <w:t>HDPE has not been confirmed or frozen.</w:t>
      </w:r>
    </w:p>
    <w:p>
      <w:pPr>
        <w:pStyle w:val="ListBullet"/>
      </w:pPr>
      <w:r>
        <w:t>MOULDING has not been started.</w:t>
      </w:r>
    </w:p>
    <w:p>
      <w:pPr>
        <w:pStyle w:val="Heading1"/>
      </w:pPr>
      <w:r>
        <w:t>2. Part A1 — Existing Unfreeze and Re-sync Behaviour</w:t>
      </w:r>
    </w:p>
    <w:p>
      <w:r>
        <w:t>Conclusion: no new build is required for the existing production re-sync behavior.</w:t>
      </w:r>
    </w:p>
    <w:p>
      <w:pPr>
        <w:pStyle w:val="ListBullet"/>
      </w:pPr>
      <w:r>
        <w:rPr>
          <w:b/>
        </w:rPr>
        <w:t xml:space="preserve">Deactivate and resume live reads: </w:t>
      </w:r>
      <w:r>
        <w:t>Unfreeze marks the exact active snapshot inactive. The next canonical read no longer resolves that emitter from the snapshot.</w:t>
      </w:r>
    </w:p>
    <w:p>
      <w:pPr>
        <w:pStyle w:val="ListBullet"/>
      </w:pPr>
      <w:r>
        <w:rPr>
          <w:b/>
        </w:rPr>
        <w:t xml:space="preserve">L1 and L2 cache handling: </w:t>
      </w:r>
      <w:r>
        <w:t>The confirming worker clears local caches and shared L2. Other workers detect the changed durable freeze-state token and cannot reuse entries keyed to the old state.</w:t>
      </w:r>
    </w:p>
    <w:p>
      <w:pPr>
        <w:pStyle w:val="ListBullet"/>
      </w:pPr>
      <w:r>
        <w:rPr>
          <w:b/>
        </w:rPr>
        <w:t xml:space="preserve">Genuine Sheets re-sync: </w:t>
      </w:r>
      <w:r>
        <w:t>With no active snapshot and the old caches invalidated, the next read follows the normal live-source path.</w:t>
      </w:r>
    </w:p>
    <w:p>
      <w:pPr>
        <w:pStyle w:val="ListBullet"/>
      </w:pPr>
      <w:r>
        <w:rPr>
          <w:b/>
        </w:rPr>
        <w:t xml:space="preserve">High-water protection: </w:t>
      </w:r>
      <w:r>
        <w:t>The normal live loader resumes immediately, including durable high-water and completeness checks.</w:t>
      </w:r>
    </w:p>
    <w:p>
      <w:pPr>
        <w:pStyle w:val="ListBullet"/>
      </w:pPr>
      <w:r>
        <w:rPr>
          <w:b/>
        </w:rPr>
        <w:t xml:space="preserve">History retained: </w:t>
      </w:r>
      <w:r>
        <w:t>The snapshot and stored records are not deleted. The snapshot becomes inactive and an append-only unfreeze audit entry is written.</w:t>
      </w:r>
    </w:p>
    <w:p>
      <w:pPr>
        <w:pStyle w:val="ListBullet"/>
      </w:pPr>
      <w:r>
        <w:rPr>
          <w:b/>
        </w:rPr>
        <w:t xml:space="preserve">Re-freezing: </w:t>
      </w:r>
      <w:r>
        <w:t>A later reviewed freeze writes a new immutable version using the next version number. Older snapshots remain historical.</w:t>
      </w:r>
    </w:p>
    <w:p>
      <w:pPr>
        <w:pStyle w:val="ListBullet"/>
      </w:pPr>
      <w:r>
        <w:rPr>
          <w:b/>
        </w:rPr>
        <w:t xml:space="preserve">Concurrency protection: </w:t>
      </w:r>
      <w:r>
        <w:t>Unfreeze is bound to the previewed snapshot ID, version, fingerprint, and physical source under the physical-month lock. A state change after preview causes a safe refusal.</w:t>
      </w:r>
    </w:p>
    <w:p>
      <w:pPr>
        <w:pStyle w:val="Heading1"/>
      </w:pPr>
      <w:r>
        <w:t>3. Part B — Extended Freeze Design</w:t>
      </w:r>
    </w:p>
    <w:p>
      <w:r>
        <w:t>Recommendation: use a two-stage freeze. Production can close when output is complete; costs and other monthly actuals close separately after their inputs arrive. A month is fully frozen only when both stages are active.</w:t>
      </w:r>
    </w:p>
    <w:p>
      <w:pPr>
        <w:pStyle w:val="Heading2"/>
      </w:pPr>
      <w:r>
        <w:t>Stage 1 — Production Freeze</w:t>
      </w:r>
    </w:p>
    <w:p>
      <w:r>
        <w:t>Use the existing immutable canonical daily production records and loader metadata. Keep the current two-pass fingerprint, high-water, completeness, audit, and user-confirmation controls.</w:t>
      </w:r>
    </w:p>
    <w:p>
      <w:pPr>
        <w:pStyle w:val="Heading2"/>
      </w:pPr>
      <w:r>
        <w:t>Stage 2 — Cost and Actual-input Freeze</w:t>
      </w:r>
    </w:p>
    <w:p>
      <w:r>
        <w:t>Freeze only after the expected wages, bills, and other actuals are present. The confirmation screen should name every required component and refuse the cost freeze when a required input is missing.</w:t>
      </w:r>
    </w:p>
    <w:p>
      <w:pPr>
        <w:pStyle w:val="Heading2"/>
      </w:pPr>
      <w:r>
        <w:t>Late-arriving bill behavior</w:t>
      </w:r>
    </w:p>
    <w:p>
      <w:pPr>
        <w:pStyle w:val="ListBullet"/>
      </w:pPr>
      <w:r>
        <w:t>If only production is frozen, costs remain live and a late bill appears normally.</w:t>
      </w:r>
    </w:p>
    <w:p>
      <w:pPr>
        <w:pStyle w:val="ListBullet"/>
      </w:pPr>
      <w:r>
        <w:t>If costs are already frozen, an administrator unfreezes only the cost stage, re-syncs from live sources, reviews the amended values, and creates a new immutable cost version.</w:t>
      </w:r>
    </w:p>
    <w:p>
      <w:pPr>
        <w:pStyle w:val="ListBullet"/>
      </w:pPr>
      <w:r>
        <w:t>The production snapshot remains frozen during a cost amendment.</w:t>
      </w:r>
    </w:p>
    <w:p>
      <w:pPr>
        <w:pStyle w:val="ListBullet"/>
      </w:pPr>
      <w:r>
        <w:t>Every unfreeze and replacement version is audited. A late bill is never silently discarded.</w:t>
      </w:r>
    </w:p>
    <w:p>
      <w:pPr>
        <w:pStyle w:val="Heading2"/>
      </w:pPr>
      <w:r>
        <w:t>Cost-stage scope</w:t>
      </w:r>
    </w:p>
    <w:p>
      <w:pPr>
        <w:pStyle w:val="ListBullet"/>
      </w:pPr>
      <w:r>
        <w:t>Segment Cost wages</w:t>
      </w:r>
    </w:p>
    <w:p>
      <w:pPr>
        <w:pStyle w:val="ListBullet"/>
      </w:pPr>
      <w:r>
        <w:t>Headcount</w:t>
      </w:r>
    </w:p>
    <w:p>
      <w:pPr>
        <w:pStyle w:val="ListBullet"/>
      </w:pPr>
      <w:r>
        <w:t>Paid hours</w:t>
      </w:r>
    </w:p>
    <w:p>
      <w:pPr>
        <w:pStyle w:val="ListBullet"/>
      </w:pPr>
      <w:r>
        <w:t>Actual labour hours</w:t>
      </w:r>
    </w:p>
    <w:p>
      <w:pPr>
        <w:pStyle w:val="ListBullet"/>
      </w:pPr>
      <w:r>
        <w:t>Power consumption and charges</w:t>
      </w:r>
    </w:p>
    <w:p>
      <w:pPr>
        <w:pStyle w:val="ListBullet"/>
      </w:pPr>
      <w:r>
        <w:t>Solar inputs</w:t>
      </w:r>
    </w:p>
    <w:p>
      <w:pPr>
        <w:pStyle w:val="ListBullet"/>
      </w:pPr>
      <w:r>
        <w:t>Tariffs</w:t>
      </w:r>
    </w:p>
    <w:p>
      <w:pPr>
        <w:pStyle w:val="ListBullet"/>
      </w:pPr>
      <w:r>
        <w:t>Contractor expenses</w:t>
      </w:r>
    </w:p>
    <w:p>
      <w:pPr>
        <w:pStyle w:val="ListBullet"/>
      </w:pPr>
      <w:r>
        <w:t>Monthly annual-comparison source facts</w:t>
      </w:r>
    </w:p>
    <w:p>
      <w:pPr>
        <w:pStyle w:val="ListBullet"/>
      </w:pPr>
      <w:r>
        <w:t>Monthly factual inputs used by Compound reports</w:t>
      </w:r>
    </w:p>
    <w:p>
      <w:pPr>
        <w:pStyle w:val="ListBullet"/>
      </w:pPr>
      <w:r>
        <w:t>Monthly factual inputs used by PIPE mould-working reports</w:t>
      </w:r>
    </w:p>
    <w:p>
      <w:pPr>
        <w:pStyle w:val="ListBullet"/>
      </w:pPr>
      <w:r>
        <w:t>Other month-specific actuals read outside get_daily_records()</w:t>
      </w:r>
    </w:p>
    <w:p>
      <w:pPr>
        <w:pStyle w:val="Heading2"/>
      </w:pPr>
      <w:r>
        <w:t>Ideal rates and business standards</w:t>
      </w:r>
    </w:p>
    <w:p>
      <w:r>
        <w:t>Keep ideal rates and business standards live. They are policy rather than historical month data. If an approved standard is corrected, closed months should recompute with that policy. Reports should expose the applied standard version or effective date so the cause of a historical recalculation remains visible.</w:t>
      </w:r>
    </w:p>
    <w:p>
      <w:pPr>
        <w:pStyle w:val="Heading2"/>
      </w:pPr>
      <w:r>
        <w:t>Specialised readers</w:t>
      </w:r>
    </w:p>
    <w:p>
      <w:r>
        <w:t>Do not leave actual monthly facts from Compound and PIPE mould-working readers live if the requirement is that pre-August actuals cannot change. Classify each input as follows:</w:t>
      </w:r>
    </w:p>
    <w:p>
      <w:pPr>
        <w:pStyle w:val="ListBullet"/>
      </w:pPr>
      <w:r>
        <w:rPr>
          <w:b/>
        </w:rPr>
        <w:t xml:space="preserve">Monthly actual fact: </w:t>
      </w:r>
      <w:r>
        <w:t>Snapshot it in the second stage.</w:t>
      </w:r>
    </w:p>
    <w:p>
      <w:pPr>
        <w:pStyle w:val="ListBullet"/>
      </w:pPr>
      <w:r>
        <w:rPr>
          <w:b/>
        </w:rPr>
        <w:t xml:space="preserve">Policy or standard: </w:t>
      </w:r>
      <w:r>
        <w:t>Keep it live.</w:t>
      </w:r>
    </w:p>
    <w:p>
      <w:pPr>
        <w:pStyle w:val="ListBullet"/>
      </w:pPr>
      <w:r>
        <w:rPr>
          <w:b/>
        </w:rPr>
        <w:t xml:space="preserve">Derived output: </w:t>
      </w:r>
      <w:r>
        <w:t>Recompute it from frozen facts and the current policy.</w:t>
      </w:r>
    </w:p>
    <w:p>
      <w:pPr>
        <w:pStyle w:val="Heading1"/>
      </w:pPr>
      <w:r>
        <w:t>4. Current Boundary</w:t>
      </w:r>
    </w:p>
    <w:p>
      <w:r>
        <w:t>No Part B implementation has started. No HDPE confirmation has been submitted. The next production action remains administrator review and confirmation of the exact HDPE May preview shown in this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A14D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