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Prompt O1-D - finish the FY2025-26 diagnosis</w:t>
      </w:r>
    </w:p>
    <w:p>
      <w:pPr>
        <w:spacing w:after="150"/>
      </w:pPr>
      <w:r>
        <w:rPr>
          <w:i/>
          <w:iCs/>
          <w:color w:val="555555"/>
        </w:rPr>
        <w:t xml:space="preserve">Diagnosis only. No code, no data, no anchor changes. The right fix depends on the answer, which is why none is prescribed here.</w:t>
      </w:r>
    </w:p>
    <w:p>
      <w:pPr>
        <w:pStyle w:val="Heading1"/>
        <w:spacing w:after="110" w:before="250"/>
      </w:pPr>
      <w:r>
        <w:rPr>
          <w:b/>
          <w:bCs/>
        </w:rPr>
        <w:t xml:space="preserve">Why O1-D is needed</w:t>
      </w:r>
    </w:p>
    <w:p>
      <w:pPr>
        <w:pStyle w:val="Heading2"/>
        <w:spacing w:after="70" w:before="190"/>
      </w:pPr>
      <w:r>
        <w:rPr>
          <w:b/>
          <w:bCs/>
        </w:rPr>
        <w:t xml:space="preserve">O1-C answered well, but tested the wrong field</w:t>
      </w:r>
    </w:p>
    <w:p>
      <w:pPr>
        <w:spacing w:after="100"/>
      </w:pPr>
      <w:r>
        <w:t xml:space="preserve">The reference document states that the FY25-26 card reads analytics.months[].amount, summed in the UI. O1-C tested yoy.overall.current and reported Rs 359.52 Cr. Those are two different fields of the same endpoint, and the field the card actually uses was never summed.</w:t>
      </w:r>
    </w:p>
    <w:p>
      <w:pPr>
        <w:spacing w:after="100"/>
      </w:pPr>
      <w:r>
        <w:t xml:space="preserve">That matters because the anchor of Rs 361.14 Cr matches to the paisa - 3,611,400,000 exactly. A round number of that precision is not a coincidence of an external extract. The likely explanation is that the anchor was originally taken from the months[] sum, and that months[] still returns Rs 361.14 Cr today while yoy.overall.current returns Rs 359.52 Cr.</w:t>
      </w:r>
    </w:p>
    <w:p>
      <w:pPr>
        <w:pBdr>
          <w:top w:val="single" w:color="E0B4A8" w:sz="6" w:space="6"/>
          <w:bottom w:val="single" w:color="E0B4A8" w:sz="6" w:space="6"/>
          <w:left w:val="single" w:color="E0B4A8" w:sz="6" w:space="6"/>
          <w:right w:val="single" w:color="E0B4A8" w:sz="6" w:space="6"/>
        </w:pBdr>
        <w:shd w:fill="FBE9E7" w:color="auto" w:val="clear"/>
        <w:spacing w:after="120"/>
      </w:pPr>
      <w:r>
        <w:t xml:space="preserve">If that is right, this is not a register-versus-external-source gap at all. It is two fields of ONE endpoint, reading ONE table for ONE fiscal year, disagreeing by Rs 1.62 Cr. Two paths over the same rows should agree exactly, not within a materiality bar.</w:t>
      </w:r>
    </w:p>
    <w:p>
      <w:pPr>
        <w:pStyle w:val="Heading2"/>
        <w:spacing w:after="70" w:before="190"/>
      </w:pPr>
      <w:r>
        <w:rPr>
          <w:b/>
          <w:bCs/>
        </w:rPr>
        <w:t xml:space="preserve">A third value has already appeared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Mar>
              <w:top w:type="dxa" w:w="50"/>
              <w:left w:type="dxa" w:w="80"/>
              <w:bottom w:type="dxa" w:w="50"/>
              <w:right w:type="dxa" w:w="80"/>
            </w:tcMar>
          </w:tcPr>
          <w:p>
            <w:r>
              <w:rPr>
                <w:b/>
                <w:bCs/>
                <w:sz w:val="17"/>
                <w:szCs w:val="17"/>
              </w:rPr>
              <w:t xml:space="preserve">Figure</w:t>
            </w:r>
          </w:p>
        </w:tc>
        <w:tc>
          <w:tcPr>
            <w:tcW w:type="pct" w:w="26%"/>
            <w:tcMar>
              <w:top w:type="dxa" w:w="50"/>
              <w:left w:type="dxa" w:w="80"/>
              <w:bottom w:type="dxa" w:w="50"/>
              <w:right w:type="dxa" w:w="80"/>
            </w:tcMar>
          </w:tcPr>
          <w:p>
            <w:r>
              <w:rPr>
                <w:b/>
                <w:bCs/>
                <w:sz w:val="17"/>
                <w:szCs w:val="17"/>
              </w:rPr>
              <w:t xml:space="preserve">Value</w:t>
            </w:r>
          </w:p>
        </w:tc>
        <w:tc>
          <w:tcPr>
            <w:tcW w:type="pct" w:w="44%"/>
            <w:tcMar>
              <w:top w:type="dxa" w:w="50"/>
              <w:left w:type="dxa" w:w="80"/>
              <w:bottom w:type="dxa" w:w="50"/>
              <w:right w:type="dxa" w:w="80"/>
            </w:tcMar>
          </w:tcPr>
          <w:p>
            <w:r>
              <w:rPr>
                <w:b/>
                <w:bCs/>
                <w:sz w:val="17"/>
                <w:szCs w:val="17"/>
              </w:rPr>
              <w:t xml:space="preserve">Source</w:t>
            </w:r>
          </w:p>
        </w:tc>
      </w:tr>
      <w:tr>
        <w:trPr>
          <w:tblHeader w:val="false"/>
        </w:trPr>
        <w:tc>
          <w:tcPr>
            <w:tcW w:type="pct" w:w="30%"/>
            <w:tcMar>
              <w:top w:type="dxa" w:w="50"/>
              <w:left w:type="dxa" w:w="80"/>
              <w:bottom w:type="dxa" w:w="50"/>
              <w:right w:type="dxa" w:w="80"/>
            </w:tcMar>
          </w:tcPr>
          <w:p>
            <w:r>
              <w:rPr>
                <w:b w:val="false"/>
                <w:bCs w:val="false"/>
                <w:sz w:val="17"/>
                <w:szCs w:val="17"/>
              </w:rPr>
              <w:t xml:space="preserve">Anchor</w:t>
            </w:r>
          </w:p>
        </w:tc>
        <w:tc>
          <w:tcPr>
            <w:tcW w:type="pct" w:w="26%"/>
            <w:tcMar>
              <w:top w:type="dxa" w:w="50"/>
              <w:left w:type="dxa" w:w="80"/>
              <w:bottom w:type="dxa" w:w="50"/>
              <w:right w:type="dxa" w:w="80"/>
            </w:tcMar>
          </w:tcPr>
          <w:p>
            <w:r>
              <w:rPr>
                <w:b w:val="false"/>
                <w:bCs w:val="false"/>
                <w:sz w:val="17"/>
                <w:szCs w:val="17"/>
              </w:rPr>
              <w:t xml:space="preserve">Rs 3,611,400,000</w:t>
            </w:r>
          </w:p>
        </w:tc>
        <w:tc>
          <w:tcPr>
            <w:tcW w:type="pct" w:w="44%"/>
            <w:tcMar>
              <w:top w:type="dxa" w:w="50"/>
              <w:left w:type="dxa" w:w="80"/>
              <w:bottom w:type="dxa" w:w="50"/>
              <w:right w:type="dxa" w:w="80"/>
            </w:tcMar>
          </w:tcPr>
          <w:p>
            <w:r>
              <w:rPr>
                <w:b w:val="false"/>
                <w:bCs w:val="false"/>
                <w:sz w:val="17"/>
                <w:szCs w:val="17"/>
              </w:rPr>
              <w:t xml:space="preserve">verify_anchors.json primary_anchors 2025-26</w:t>
            </w:r>
          </w:p>
        </w:tc>
      </w:tr>
      <w:tr>
        <w:trPr>
          <w:tblHeader w:val="false"/>
        </w:trPr>
        <w:tc>
          <w:tcPr>
            <w:tcW w:type="pct" w:w="30%"/>
            <w:tcMar>
              <w:top w:type="dxa" w:w="50"/>
              <w:left w:type="dxa" w:w="80"/>
              <w:bottom w:type="dxa" w:w="50"/>
              <w:right w:type="dxa" w:w="80"/>
            </w:tcMar>
          </w:tcPr>
          <w:p>
            <w:r>
              <w:rPr>
                <w:b w:val="false"/>
                <w:bCs w:val="false"/>
                <w:sz w:val="17"/>
                <w:szCs w:val="17"/>
              </w:rPr>
              <w:t xml:space="preserve">yoy.overall.current</w:t>
            </w:r>
          </w:p>
        </w:tc>
        <w:tc>
          <w:tcPr>
            <w:tcW w:type="pct" w:w="26%"/>
            <w:tcMar>
              <w:top w:type="dxa" w:w="50"/>
              <w:left w:type="dxa" w:w="80"/>
              <w:bottom w:type="dxa" w:w="50"/>
              <w:right w:type="dxa" w:w="80"/>
            </w:tcMar>
          </w:tcPr>
          <w:p>
            <w:r>
              <w:rPr>
                <w:b w:val="false"/>
                <w:bCs w:val="false"/>
                <w:sz w:val="17"/>
                <w:szCs w:val="17"/>
              </w:rPr>
              <w:t xml:space="preserve">Rs 3,595,213,168</w:t>
            </w:r>
          </w:p>
        </w:tc>
        <w:tc>
          <w:tcPr>
            <w:tcW w:type="pct" w:w="44%"/>
            <w:tcMar>
              <w:top w:type="dxa" w:w="50"/>
              <w:left w:type="dxa" w:w="80"/>
              <w:bottom w:type="dxa" w:w="50"/>
              <w:right w:type="dxa" w:w="80"/>
            </w:tcMar>
          </w:tcPr>
          <w:p>
            <w:r>
              <w:rPr>
                <w:b w:val="false"/>
                <w:bCs w:val="false"/>
                <w:sz w:val="17"/>
                <w:szCs w:val="17"/>
              </w:rPr>
              <w:t xml:space="preserve">analytics.ts yoy query</w:t>
            </w:r>
          </w:p>
        </w:tc>
      </w:tr>
      <w:tr>
        <w:trPr>
          <w:tblHeader w:val="false"/>
        </w:trPr>
        <w:tc>
          <w:tcPr>
            <w:tcW w:type="pct" w:w="30%"/>
            <w:tcMar>
              <w:top w:type="dxa" w:w="50"/>
              <w:left w:type="dxa" w:w="80"/>
              <w:bottom w:type="dxa" w:w="50"/>
              <w:right w:type="dxa" w:w="80"/>
            </w:tcMar>
          </w:tcPr>
          <w:p>
            <w:r>
              <w:rPr>
                <w:b w:val="false"/>
                <w:bCs w:val="false"/>
                <w:sz w:val="17"/>
                <w:szCs w:val="17"/>
              </w:rPr>
              <w:t xml:space="preserve">version_status breakdown, current</w:t>
            </w:r>
          </w:p>
        </w:tc>
        <w:tc>
          <w:tcPr>
            <w:tcW w:type="pct" w:w="26%"/>
            <w:tcMar>
              <w:top w:type="dxa" w:w="50"/>
              <w:left w:type="dxa" w:w="80"/>
              <w:bottom w:type="dxa" w:w="50"/>
              <w:right w:type="dxa" w:w="80"/>
            </w:tcMar>
          </w:tcPr>
          <w:p>
            <w:r>
              <w:rPr>
                <w:b w:val="false"/>
                <w:bCs w:val="false"/>
                <w:sz w:val="17"/>
                <w:szCs w:val="17"/>
              </w:rPr>
              <w:t xml:space="preserve">Rs 3,595,213,170</w:t>
            </w:r>
          </w:p>
        </w:tc>
        <w:tc>
          <w:tcPr>
            <w:tcW w:type="pct" w:w="44%"/>
            <w:tcMar>
              <w:top w:type="dxa" w:w="50"/>
              <w:left w:type="dxa" w:w="80"/>
              <w:bottom w:type="dxa" w:w="50"/>
              <w:right w:type="dxa" w:w="80"/>
            </w:tcMar>
          </w:tcPr>
          <w:p>
            <w:r>
              <w:rPr>
                <w:b w:val="false"/>
                <w:bCs w:val="false"/>
                <w:sz w:val="17"/>
                <w:szCs w:val="17"/>
              </w:rPr>
              <w:t xml:space="preserve">O1-C diagnostic query</w:t>
            </w:r>
          </w:p>
        </w:tc>
      </w:tr>
    </w:tbl>
    <w:p>
      <w:pPr>
        <w:spacing w:after="100"/>
      </w:pPr>
      <w:r>
        <w:t xml:space="preserve">The last two are both described as the current-rows total for FY2025-26, and they differ by Rs 2. Immaterial in itself, but it confirms the queries are not identical. Two rupees today is two hundred lakh tomorrow if the cause is a join or a rounding step rather than a stray row.</w:t>
      </w:r>
    </w:p>
    <w:p>
      <w:pPr>
        <w:pStyle w:val="Heading2"/>
        <w:spacing w:after="70" w:before="190"/>
      </w:pPr>
      <w:r>
        <w:rPr>
          <w:b/>
          <w:bCs/>
        </w:rPr>
        <w:t xml:space="preserve">The anchor has no traceable origin</w:t>
      </w:r>
    </w:p>
    <w:p>
      <w:pPr>
        <w:spacing w:after="100"/>
      </w:pPr>
      <w:r>
        <w:t xml:space="preserve">O1-C's own wording: the anchor's origin is undocumented in code and was set from an independent source, 'presumably' the State Head Sale sheet. An anchor whose provenance is unknown cannot function as an anchor - when Data Health check C2 passes, it proves agreement with a figure nobody can trace. Compare FY2024-25, which now has a documented chain: SALE tab Rs 341.73 Cr, register Rs 341.14 Cr, State Head Sale sheet confirming the register.</w:t>
      </w:r>
    </w:p>
    <w:p>
      <w:pPr>
        <w:spacing w:after="100"/>
      </w:pPr>
      <w:r>
        <w:t xml:space="preserve">Note also that the superseded rows total Rs 25,215 - 0.16 percent of the Rs 1.62 Cr gap. The version_status hypothesis is cleanly dead, which is a useful result, but it leaves the gap entirely unexplained.</w:t>
      </w:r>
    </w:p>
    <w:p>
      <w:pPr>
        <w:pStyle w:val="Heading1"/>
        <w:spacing w:after="110" w:before="250"/>
      </w:pPr>
      <w:r>
        <w:rPr>
          <w:b/>
          <w:bCs/>
        </w:rPr>
        <w:t xml:space="preserve">Prompt O1-D</w:t>
      </w:r>
    </w:p>
    <w:p>
      <w:pPr>
        <w:spacing w:after="20" w:before="100"/>
      </w:pPr>
      <w:r>
        <w:rPr>
          <w:b/>
          <w:bCs/>
          <w:i/>
          <w:iCs/>
          <w:color w:val="444444"/>
        </w:rPr>
        <w:t xml:space="preserve">PROMPT - O1-D (copy the box below)</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6"/>
          <w:szCs w:val="16"/>
        </w:rPr>
        <w:t xml:space="preserve">Prayag app - correction O1-D. Same global rules as every earlier phase. THIS PROMPT</w:t>
      </w:r>
      <w:r>
        <w:rPr>
          <w:rFonts w:ascii="Courier New" w:cs="Courier New" w:eastAsia="Courier New" w:hAnsi="Courier New"/>
          <w:sz w:val="16"/>
          <w:szCs w:val="16"/>
        </w:rPr>
        <w:br/>
        <w:t xml:space="preserve">CHANGES NO CODE, NO DATA AND NO ANCHOR VALUES. Report only. Send before O2.</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O1-C tested yoy.overall.current. The FY25-26 card reads analytics.months[].amount,</w:t>
      </w:r>
      <w:r>
        <w:rPr>
          <w:rFonts w:ascii="Courier New" w:cs="Courier New" w:eastAsia="Courier New" w:hAnsi="Courier New"/>
          <w:sz w:val="16"/>
          <w:szCs w:val="16"/>
        </w:rPr>
        <w:br/>
        <w:t xml:space="preserve">summed in the UI. That field was never summed. Finish the diagnosis.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1. SUM THE FIELD THE CARD ACTUALLY USES.</w:t>
      </w:r>
      <w:r>
        <w:rPr>
          <w:rFonts w:ascii="Courier New" w:cs="Courier New" w:eastAsia="Courier New" w:hAnsi="Courier New"/>
          <w:sz w:val="16"/>
          <w:szCs w:val="16"/>
        </w:rPr>
        <w:br/>
        <w:t xml:space="preserve">   Call GET /api/analytics?fy=2025-26 once and report, from the SAME response:</w:t>
      </w:r>
      <w:r>
        <w:rPr>
          <w:rFonts w:ascii="Courier New" w:cs="Courier New" w:eastAsia="Courier New" w:hAnsi="Courier New"/>
          <w:sz w:val="16"/>
          <w:szCs w:val="16"/>
        </w:rPr>
        <w:br/>
        <w:t xml:space="preserve">     a) sum of months[].amount, and the number of entries in months[]</w:t>
      </w:r>
      <w:r>
        <w:rPr>
          <w:rFonts w:ascii="Courier New" w:cs="Courier New" w:eastAsia="Courier New" w:hAnsi="Courier New"/>
          <w:sz w:val="16"/>
          <w:szCs w:val="16"/>
        </w:rPr>
        <w:br/>
        <w:t xml:space="preserve">     b) yoy.overall.current</w:t>
      </w:r>
      <w:r>
        <w:rPr>
          <w:rFonts w:ascii="Courier New" w:cs="Courier New" w:eastAsia="Courier New" w:hAnsi="Courier New"/>
          <w:sz w:val="16"/>
          <w:szCs w:val="16"/>
        </w:rPr>
        <w:br/>
        <w:t xml:space="preserve">     c) the difference between them, in rupees and as a percentage</w:t>
      </w:r>
      <w:r>
        <w:rPr>
          <w:rFonts w:ascii="Courier New" w:cs="Courier New" w:eastAsia="Courier New" w:hAnsi="Courier New"/>
          <w:sz w:val="16"/>
          <w:szCs w:val="16"/>
        </w:rPr>
        <w:br/>
        <w:t xml:space="preserve">   Print BOTH SQL statements as executed - the months query and the yoy query -</w:t>
      </w:r>
      <w:r>
        <w:rPr>
          <w:rFonts w:ascii="Courier New" w:cs="Courier New" w:eastAsia="Courier New" w:hAnsi="Courier New"/>
          <w:sz w:val="16"/>
          <w:szCs w:val="16"/>
        </w:rPr>
        <w:br/>
        <w:t xml:space="preserve">   side by side.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2. IF THEY DIFFER, FIND THE ROWS, NOT A RECONCILING ADJUSTMENT.</w:t>
      </w:r>
      <w:r>
        <w:rPr>
          <w:rFonts w:ascii="Courier New" w:cs="Courier New" w:eastAsia="Courier New" w:hAnsi="Courier New"/>
          <w:sz w:val="16"/>
          <w:szCs w:val="16"/>
        </w:rPr>
        <w:br/>
        <w:t xml:space="preserve">   Report which rows one path counts and the other does not. Check specifically:</w:t>
      </w:r>
      <w:r>
        <w:rPr>
          <w:rFonts w:ascii="Courier New" w:cs="Courier New" w:eastAsia="Courier New" w:hAnsi="Courier New"/>
          <w:sz w:val="16"/>
          <w:szCs w:val="16"/>
        </w:rPr>
        <w:br/>
        <w:t xml:space="preserve">     - rows whose month_label is null, empty, or does not map to a fiscal month</w:t>
      </w:r>
      <w:r>
        <w:rPr>
          <w:rFonts w:ascii="Courier New" w:cs="Courier New" w:eastAsia="Courier New" w:hAnsi="Courier New"/>
          <w:sz w:val="16"/>
          <w:szCs w:val="16"/>
        </w:rPr>
        <w:br/>
        <w:t xml:space="preserve">     - rows whose fy is 2025-26 but whose date falls outside Apr-2025 to Mar-2026</w:t>
      </w:r>
      <w:r>
        <w:rPr>
          <w:rFonts w:ascii="Courier New" w:cs="Courier New" w:eastAsia="Courier New" w:hAnsi="Courier New"/>
          <w:sz w:val="16"/>
          <w:szCs w:val="16"/>
        </w:rPr>
        <w:br/>
        <w:t xml:space="preserve">     - whether a complete-months guard, a date filter or a join is applied to one</w:t>
      </w:r>
      <w:r>
        <w:rPr>
          <w:rFonts w:ascii="Courier New" w:cs="Courier New" w:eastAsia="Courier New" w:hAnsi="Courier New"/>
          <w:sz w:val="16"/>
          <w:szCs w:val="16"/>
        </w:rPr>
        <w:br/>
        <w:t xml:space="preserve">       path and not the other</w:t>
      </w:r>
      <w:r>
        <w:rPr>
          <w:rFonts w:ascii="Courier New" w:cs="Courier New" w:eastAsia="Courier New" w:hAnsi="Courier New"/>
          <w:sz w:val="16"/>
          <w:szCs w:val="16"/>
        </w:rPr>
        <w:br/>
        <w:t xml:space="preserve">     - whether either path aggregates before or after a join that can duplicate rows</w:t>
      </w:r>
      <w:r>
        <w:rPr>
          <w:rFonts w:ascii="Courier New" w:cs="Courier New" w:eastAsia="Courier New" w:hAnsi="Courier New"/>
          <w:sz w:val="16"/>
          <w:szCs w:val="16"/>
        </w:rPr>
        <w:br/>
        <w:t xml:space="preserve">   Report the row count and rupee value of each category found.</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3. EXPLAIN THE Rs 2 DIFFERENCE between yoy.overall.current (3,595,213,168) and the</w:t>
      </w:r>
      <w:r>
        <w:rPr>
          <w:rFonts w:ascii="Courier New" w:cs="Courier New" w:eastAsia="Courier New" w:hAnsi="Courier New"/>
          <w:sz w:val="16"/>
          <w:szCs w:val="16"/>
        </w:rPr>
        <w:br/>
        <w:t xml:space="preserve">   O1-C version_status breakdown (3,595,213,170). Both are described as the current</w:t>
      </w:r>
      <w:r>
        <w:rPr>
          <w:rFonts w:ascii="Courier New" w:cs="Courier New" w:eastAsia="Courier New" w:hAnsi="Courier New"/>
          <w:sz w:val="16"/>
          <w:szCs w:val="16"/>
        </w:rPr>
        <w:br/>
        <w:t xml:space="preserve">   total for the same fiscal year. State whether it is rounding, a cast, or a row.</w:t>
      </w:r>
      <w:r>
        <w:rPr>
          <w:rFonts w:ascii="Courier New" w:cs="Courier New" w:eastAsia="Courier New" w:hAnsi="Courier New"/>
          <w:sz w:val="16"/>
          <w:szCs w:val="16"/>
        </w:rPr>
        <w:br/>
        <w:t xml:space="preserve">   Small differences of unknown cause are how large ones start.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4. TRACE THE ANCHOR. For config/verify_anchors.json, primary_anchors['2025-26'].total</w:t>
      </w:r>
      <w:r>
        <w:rPr>
          <w:rFonts w:ascii="Courier New" w:cs="Courier New" w:eastAsia="Courier New" w:hAnsi="Courier New"/>
          <w:sz w:val="16"/>
          <w:szCs w:val="16"/>
        </w:rPr>
        <w:br/>
        <w:t xml:space="preserve">   = 3611400000, report:</w:t>
      </w:r>
      <w:r>
        <w:rPr>
          <w:rFonts w:ascii="Courier New" w:cs="Courier New" w:eastAsia="Courier New" w:hAnsi="Courier New"/>
          <w:sz w:val="16"/>
          <w:szCs w:val="16"/>
        </w:rPr>
        <w:br/>
        <w:t xml:space="preserve">     - the commit that introduced it, its date and its message</w:t>
      </w:r>
      <w:r>
        <w:rPr>
          <w:rFonts w:ascii="Courier New" w:cs="Courier New" w:eastAsia="Courier New" w:hAnsi="Courier New"/>
          <w:sz w:val="16"/>
          <w:szCs w:val="16"/>
        </w:rPr>
        <w:br/>
        <w:t xml:space="preserve">     - any comment, document or note recording where the value came from</w:t>
      </w:r>
      <w:r>
        <w:rPr>
          <w:rFonts w:ascii="Courier New" w:cs="Courier New" w:eastAsia="Courier New" w:hAnsi="Courier New"/>
          <w:sz w:val="16"/>
          <w:szCs w:val="16"/>
        </w:rPr>
        <w:br/>
        <w:t xml:space="preserve">     - whether the value equals the months[] sum, the yoy sum, or neither</w:t>
      </w:r>
      <w:r>
        <w:rPr>
          <w:rFonts w:ascii="Courier New" w:cs="Courier New" w:eastAsia="Courier New" w:hAnsi="Courier New"/>
          <w:sz w:val="16"/>
          <w:szCs w:val="16"/>
        </w:rPr>
        <w:br/>
        <w:t xml:space="preserve">   If the provenance cannot be established, say so plainly. Do NOT change the anchor</w:t>
      </w:r>
      <w:r>
        <w:rPr>
          <w:rFonts w:ascii="Courier New" w:cs="Courier New" w:eastAsia="Courier New" w:hAnsi="Courier New"/>
          <w:sz w:val="16"/>
          <w:szCs w:val="16"/>
        </w:rPr>
        <w:br/>
        <w:t xml:space="preserve">   in this prompt - the correct fix depends on the answer to item 1.</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5. FINISH THE CONSUMER TABLE. O1-C's table was truncated after analytics.ts and</w:t>
      </w:r>
      <w:r>
        <w:rPr>
          <w:rFonts w:ascii="Courier New" w:cs="Courier New" w:eastAsia="Courier New" w:hAnsi="Courier New"/>
          <w:sz w:val="16"/>
          <w:szCs w:val="16"/>
        </w:rPr>
        <w:br/>
        <w:t xml:space="preserve">   verify.ts, at lib/mgmt/salesRe... . List EVERY file that queries sale_line -</w:t>
      </w:r>
      <w:r>
        <w:rPr>
          <w:rFonts w:ascii="Courier New" w:cs="Courier New" w:eastAsia="Courier New" w:hAnsi="Courier New"/>
          <w:sz w:val="16"/>
          <w:szCs w:val="16"/>
        </w:rPr>
        <w:br/>
        <w:t xml:space="preserve">   route, service, job, report or script - and for each state whether it filters fy</w:t>
      </w:r>
      <w:r>
        <w:rPr>
          <w:rFonts w:ascii="Courier New" w:cs="Courier New" w:eastAsia="Courier New" w:hAnsi="Courier New"/>
          <w:sz w:val="16"/>
          <w:szCs w:val="16"/>
        </w:rPr>
        <w:br/>
        <w:t xml:space="preserve">   and whether it filters version_status. Present it as a complete table with no</w:t>
      </w:r>
      <w:r>
        <w:rPr>
          <w:rFonts w:ascii="Courier New" w:cs="Courier New" w:eastAsia="Courier New" w:hAnsi="Courier New"/>
          <w:sz w:val="16"/>
          <w:szCs w:val="16"/>
        </w:rPr>
        <w:br/>
        <w:t xml:space="preserve">   omissions.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6. THE Rs 0.59 Cr FY2024-25 ROWS. Item 5 of O1-C was not answered. The SALE tab</w:t>
      </w:r>
      <w:r>
        <w:rPr>
          <w:rFonts w:ascii="Courier New" w:cs="Courier New" w:eastAsia="Courier New" w:hAnsi="Courier New"/>
          <w:sz w:val="16"/>
          <w:szCs w:val="16"/>
        </w:rPr>
        <w:br/>
        <w:t xml:space="preserve">   reports Rs 341.73 Cr and the register Rs 341.14 Cr. Identify the rows the tab</w:t>
      </w:r>
      <w:r>
        <w:rPr>
          <w:rFonts w:ascii="Courier New" w:cs="Courier New" w:eastAsia="Courier New" w:hAnsi="Courier New"/>
          <w:sz w:val="16"/>
          <w:szCs w:val="16"/>
        </w:rPr>
        <w:br/>
        <w:t xml:space="preserve">   holds that the register does not: how many, which months, which product groups,</w:t>
      </w:r>
      <w:r>
        <w:rPr>
          <w:rFonts w:ascii="Courier New" w:cs="Courier New" w:eastAsia="Courier New" w:hAnsi="Courier New"/>
          <w:sz w:val="16"/>
          <w:szCs w:val="16"/>
        </w:rPr>
        <w:br/>
        <w:t xml:space="preserve">   which plants. If they cannot be identified, state that plainly - the register</w:t>
      </w:r>
      <w:r>
        <w:rPr>
          <w:rFonts w:ascii="Courier New" w:cs="Courier New" w:eastAsia="Courier New" w:hAnsi="Courier New"/>
          <w:sz w:val="16"/>
          <w:szCs w:val="16"/>
        </w:rPr>
        <w:br/>
        <w:t xml:space="preserve">   cannot be described as complete on rows while Rs 58,78,112 is unaccounted for.</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Reporting rules for this prompt:</w:t>
      </w:r>
      <w:r>
        <w:rPr>
          <w:rFonts w:ascii="Courier New" w:cs="Courier New" w:eastAsia="Courier New" w:hAnsi="Courier New"/>
          <w:sz w:val="16"/>
          <w:szCs w:val="16"/>
        </w:rPr>
        <w:br/>
        <w:t xml:space="preserve">  - Do not narrow any gap by adjusting a query until figures agree.</w:t>
      </w:r>
      <w:r>
        <w:rPr>
          <w:rFonts w:ascii="Courier New" w:cs="Courier New" w:eastAsia="Courier New" w:hAnsi="Courier New"/>
          <w:sz w:val="16"/>
          <w:szCs w:val="16"/>
        </w:rPr>
        <w:br/>
        <w:t xml:space="preserve">  - Do not invoke a materiality threshold in place of an explanation. A tolerance is</w:t>
      </w:r>
      <w:r>
        <w:rPr>
          <w:rFonts w:ascii="Courier New" w:cs="Courier New" w:eastAsia="Courier New" w:hAnsi="Courier New"/>
          <w:sz w:val="16"/>
          <w:szCs w:val="16"/>
        </w:rPr>
        <w:br/>
        <w:t xml:space="preserve">    for reconciling two KNOWN sources; it is not an answer to an unexplained</w:t>
      </w:r>
      <w:r>
        <w:rPr>
          <w:rFonts w:ascii="Courier New" w:cs="Courier New" w:eastAsia="Courier New" w:hAnsi="Courier New"/>
          <w:sz w:val="16"/>
          <w:szCs w:val="16"/>
        </w:rPr>
        <w:br/>
        <w:t xml:space="preserve">    difference from a figure of unknown origin.</w:t>
      </w:r>
      <w:r>
        <w:rPr>
          <w:rFonts w:ascii="Courier New" w:cs="Courier New" w:eastAsia="Courier New" w:hAnsi="Courier New"/>
          <w:sz w:val="16"/>
          <w:szCs w:val="16"/>
        </w:rPr>
        <w:br/>
        <w:t xml:space="preserve">  - Where something cannot be determined, say so rather than inferring.</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Acceptance:</w:t>
      </w:r>
      <w:r>
        <w:rPr>
          <w:rFonts w:ascii="Courier New" w:cs="Courier New" w:eastAsia="Courier New" w:hAnsi="Courier New"/>
          <w:sz w:val="16"/>
          <w:szCs w:val="16"/>
        </w:rPr>
        <w:br/>
        <w:t xml:space="preserve">  months[] sum, yoy.overall.current and their difference are all reported from one</w:t>
      </w:r>
      <w:r>
        <w:rPr>
          <w:rFonts w:ascii="Courier New" w:cs="Courier New" w:eastAsia="Courier New" w:hAnsi="Courier New"/>
          <w:sz w:val="16"/>
          <w:szCs w:val="16"/>
        </w:rPr>
        <w:br/>
        <w:t xml:space="preserve">    response, with both SQL statements printed</w:t>
      </w:r>
      <w:r>
        <w:rPr>
          <w:rFonts w:ascii="Courier New" w:cs="Courier New" w:eastAsia="Courier New" w:hAnsi="Courier New"/>
          <w:sz w:val="16"/>
          <w:szCs w:val="16"/>
        </w:rPr>
        <w:br/>
        <w:t xml:space="preserve">  if they differ, the differing rows are identified by count and value</w:t>
      </w:r>
      <w:r>
        <w:rPr>
          <w:rFonts w:ascii="Courier New" w:cs="Courier New" w:eastAsia="Courier New" w:hAnsi="Courier New"/>
          <w:sz w:val="16"/>
          <w:szCs w:val="16"/>
        </w:rPr>
        <w:br/>
        <w:t xml:space="preserve">  the Rs 2 difference is explained</w:t>
      </w:r>
      <w:r>
        <w:rPr>
          <w:rFonts w:ascii="Courier New" w:cs="Courier New" w:eastAsia="Courier New" w:hAnsi="Courier New"/>
          <w:sz w:val="16"/>
          <w:szCs w:val="16"/>
        </w:rPr>
        <w:br/>
        <w:t xml:space="preserve">  the anchor's provenance is reported, or explicitly declared untraceable</w:t>
      </w:r>
      <w:r>
        <w:rPr>
          <w:rFonts w:ascii="Courier New" w:cs="Courier New" w:eastAsia="Courier New" w:hAnsi="Courier New"/>
          <w:sz w:val="16"/>
          <w:szCs w:val="16"/>
        </w:rPr>
        <w:br/>
        <w:t xml:space="preserve">  the consumer table is complete, with no entry truncated</w:t>
      </w:r>
      <w:r>
        <w:rPr>
          <w:rFonts w:ascii="Courier New" w:cs="Courier New" w:eastAsia="Courier New" w:hAnsi="Courier New"/>
          <w:sz w:val="16"/>
          <w:szCs w:val="16"/>
        </w:rPr>
        <w:br/>
        <w:t xml:space="preserve">  the Rs 58,78,112 FY2024-25 rows are identified, or declared unidentifiable</w:t>
      </w:r>
      <w:r>
        <w:rPr>
          <w:rFonts w:ascii="Courier New" w:cs="Courier New" w:eastAsia="Courier New" w:hAnsi="Courier New"/>
          <w:sz w:val="16"/>
          <w:szCs w:val="16"/>
        </w:rPr>
        <w:br/>
        <w:t xml:space="preserve">  no code, no data and no anchor value was changed by this prompt</w:t>
      </w:r>
    </w:p>
    <w:p>
      <w:pPr>
        <w:pStyle w:val="Heading1"/>
        <w:spacing w:after="110" w:before="250"/>
      </w:pPr>
      <w:r>
        <w:rPr>
          <w:b/>
          <w:bCs/>
        </w:rPr>
        <w:t xml:space="preserve">What to watch</w:t>
      </w:r>
    </w:p>
    <w:p>
      <w:pPr>
        <w:spacing w:after="40"/>
        <w:ind w:left="360"/>
      </w:pPr>
      <w:r>
        <w:t xml:space="preserve">- The likely finding is that months[] returns Rs 361.14 Cr. If so, the anchor is fine and the ENDPOINT is inconsistent - and the fix is to make the two paths agree, not to adjust the anchor.</w:t>
      </w:r>
    </w:p>
    <w:p>
      <w:pPr>
        <w:spacing w:after="40"/>
        <w:ind w:left="360"/>
      </w:pPr>
      <w:r>
        <w:t xml:space="preserve">- If months[] instead returns Rs 359.52 Cr, then the anchor is genuinely external and unsourced, and it should be replaced with a figure whose derivation is documented - the way FY2024-25 now is.</w:t>
      </w:r>
    </w:p>
    <w:p>
      <w:pPr>
        <w:spacing w:after="40"/>
        <w:ind w:left="360"/>
      </w:pPr>
      <w:r>
        <w:t xml:space="preserve">- Watch for the gap being closed by a query change rather than an explanation. If a figure moves, ask which rows moved and why.</w:t>
      </w:r>
    </w:p>
    <w:p>
      <w:pPr>
        <w:spacing w:after="40"/>
        <w:ind w:left="360"/>
      </w:pPr>
      <w:r>
        <w:t xml:space="preserve">- Expect the completed consumer table to show at least one more missing filter. A single forgotten version_status filter is rarely the only one - and the two superseded rows found so far mean the pattern is live, not theoretical.</w:t>
      </w:r>
    </w:p>
    <w:p>
      <w:pPr>
        <w:spacing w:after="40"/>
        <w:ind w:left="360"/>
      </w:pPr>
      <w:r>
        <w:t xml:space="preserve">- Once O1-D reports, the fix is usually small and obvious. Do not let it be bundled into O2.</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O1-D diagnosis</dc:title>
  <dc:creator>Prayag AI Team</dc:creator>
  <cp:lastModifiedBy>Un-named</cp:lastModifiedBy>
  <cp:revision>1</cp:revision>
  <dcterms:created xsi:type="dcterms:W3CDTF">2026-07-24T10:25:40.849Z</dcterms:created>
  <dcterms:modified xsi:type="dcterms:W3CDTF">2026-07-24T10:25:40.874Z</dcterms:modified>
</cp:coreProperties>
</file>

<file path=docProps/custom.xml><?xml version="1.0" encoding="utf-8"?>
<Properties xmlns="http://schemas.openxmlformats.org/officeDocument/2006/custom-properties" xmlns:vt="http://schemas.openxmlformats.org/officeDocument/2006/docPropsVTypes"/>
</file>