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sz w:val="44"/>
        </w:rPr>
        <w:t>Prayag Production Analytics</w:t>
      </w:r>
    </w:p>
    <w:p>
      <w:pPr>
        <w:jc w:val="center"/>
      </w:pPr>
      <w:r>
        <w:rPr>
          <w:b/>
          <w:color w:val="C55A11"/>
          <w:sz w:val="24"/>
        </w:rPr>
        <w:t>Complete End-to-End Technical Walkthrough</w:t>
      </w:r>
    </w:p>
    <w:p/>
    <w:p>
      <w:pPr>
        <w:pStyle w:val="Heading1"/>
        <w:spacing w:before="360" w:after="120"/>
      </w:pPr>
      <w:r>
        <w:t>1. Stack &amp; Entry Point</w:t>
      </w:r>
    </w:p>
    <w:p>
      <w:pPr>
        <w:spacing w:after="80"/>
      </w:pPr>
      <w:r>
        <w:t>Language / framework: Python 3, Flask. All pages are server-rendered Jinja2 templates (templates/*.html). No JavaScript framework — Chart.js handles charts; a small amount of vanilla JS handles async AI-report calls. The surrounding pnpm monorepo scaffolds a Node/Express API server and a mockup sandbox, but the Prayag product is entirely the Flask app.</w:t>
      </w:r>
    </w:p>
    <w:p>
      <w:pPr>
        <w:pStyle w:val="Heading2"/>
        <w:spacing w:before="240" w:after="80"/>
      </w:pPr>
      <w:r>
        <w:t>Entry file</w:t>
      </w:r>
    </w:p>
    <w:p>
      <w:pPr>
        <w:spacing w:after="80"/>
      </w:pPr>
      <w:r>
        <w:t>artifacts/prayag/app.py (4,027 lines). Workflow command:</w:t>
      </w:r>
    </w:p>
    <w:p>
      <w:pPr>
        <w:spacing w:after="0" w:before="0"/>
        <w:shd w:val="clear" w:color="auto" w:fill="F2F2F2"/>
      </w:pPr>
      <w:r>
        <w:rPr>
          <w:rFonts w:ascii="Courier New" w:hAnsi="Courier New"/>
          <w:sz w:val="17"/>
        </w:rPr>
        <w:t>cd /home/runner/workspace/artifacts/prayag &amp;&amp; PORT=21800 python3 app.py</w:t>
      </w:r>
    </w:p>
    <w:p/>
    <w:p>
      <w:pPr>
        <w:spacing w:after="80"/>
      </w:pPr>
      <w:r>
        <w:t>Flask's reloader is OFF — after editing any .py file you must restart the workflow or you debug stale code.</w:t>
      </w:r>
    </w:p>
    <w:p>
      <w:pPr>
        <w:pStyle w:val="Heading2"/>
        <w:spacing w:before="240" w:after="80"/>
      </w:pPr>
      <w:r>
        <w:t>Main dependencies</w:t>
      </w:r>
    </w:p>
    <w:tbl>
      <w:tblPr>
        <w:tblStyle w:val="TableGrid"/>
        <w:tblW w:type="auto" w:w="0"/>
        <w:tblLook w:firstColumn="1" w:firstRow="1" w:lastColumn="0" w:lastRow="0" w:noHBand="0" w:noVBand="1" w:val="04A0"/>
      </w:tblPr>
      <w:tblGrid>
        <w:gridCol w:w="4536"/>
        <w:gridCol w:w="4536"/>
      </w:tblGrid>
      <w:tr>
        <w:tc>
          <w:tcPr>
            <w:tcW w:type="dxa" w:w="2160"/>
            <w:shd w:val="clear" w:color="auto" w:fill="1F3864"/>
          </w:tcPr>
          <w:p>
            <w:r>
              <w:rPr>
                <w:b/>
                <w:color w:val="FFFFFF"/>
                <w:sz w:val="18"/>
              </w:rPr>
              <w:t>Package</w:t>
            </w:r>
          </w:p>
        </w:tc>
        <w:tc>
          <w:tcPr>
            <w:tcW w:type="dxa" w:w="6480"/>
            <w:shd w:val="clear" w:color="auto" w:fill="1F3864"/>
          </w:tcPr>
          <w:p>
            <w:r>
              <w:rPr>
                <w:b/>
                <w:color w:val="FFFFFF"/>
                <w:sz w:val="18"/>
              </w:rPr>
              <w:t>Purpose</w:t>
            </w:r>
          </w:p>
        </w:tc>
      </w:tr>
      <w:tr>
        <w:tc>
          <w:tcPr>
            <w:tcW w:type="dxa" w:w="2160"/>
            <w:shd w:val="clear" w:color="auto" w:fill="FFFFFF"/>
          </w:tcPr>
          <w:p>
            <w:r>
              <w:rPr>
                <w:sz w:val="18"/>
              </w:rPr>
              <w:t>flask</w:t>
            </w:r>
          </w:p>
        </w:tc>
        <w:tc>
          <w:tcPr>
            <w:tcW w:type="dxa" w:w="6480"/>
            <w:shd w:val="clear" w:color="auto" w:fill="FFFFFF"/>
          </w:tcPr>
          <w:p>
            <w:r>
              <w:rPr>
                <w:sz w:val="18"/>
              </w:rPr>
              <w:t>HTTP routing + Jinja2 templating</w:t>
            </w:r>
          </w:p>
        </w:tc>
      </w:tr>
      <w:tr>
        <w:tc>
          <w:tcPr>
            <w:tcW w:type="dxa" w:w="2160"/>
            <w:shd w:val="clear" w:color="auto" w:fill="EEF2F7"/>
          </w:tcPr>
          <w:p>
            <w:r>
              <w:rPr>
                <w:sz w:val="18"/>
              </w:rPr>
              <w:t>psycopg2</w:t>
            </w:r>
          </w:p>
        </w:tc>
        <w:tc>
          <w:tcPr>
            <w:tcW w:type="dxa" w:w="6480"/>
            <w:shd w:val="clear" w:color="auto" w:fill="EEF2F7"/>
          </w:tcPr>
          <w:p>
            <w:r>
              <w:rPr>
                <w:sz w:val="18"/>
              </w:rPr>
              <w:t>Postgres (durable store, L2 sheet cache)</w:t>
            </w:r>
          </w:p>
        </w:tc>
      </w:tr>
      <w:tr>
        <w:tc>
          <w:tcPr>
            <w:tcW w:type="dxa" w:w="2160"/>
            <w:shd w:val="clear" w:color="auto" w:fill="FFFFFF"/>
          </w:tcPr>
          <w:p>
            <w:r>
              <w:rPr>
                <w:sz w:val="18"/>
              </w:rPr>
              <w:t>anthropic</w:t>
            </w:r>
          </w:p>
        </w:tc>
        <w:tc>
          <w:tcPr>
            <w:tcW w:type="dxa" w:w="6480"/>
            <w:shd w:val="clear" w:color="auto" w:fill="FFFFFF"/>
          </w:tcPr>
          <w:p>
            <w:r>
              <w:rPr>
                <w:sz w:val="18"/>
              </w:rPr>
              <w:t>Claude narrative prose</w:t>
            </w:r>
          </w:p>
        </w:tc>
      </w:tr>
      <w:tr>
        <w:tc>
          <w:tcPr>
            <w:tcW w:type="dxa" w:w="2160"/>
            <w:shd w:val="clear" w:color="auto" w:fill="EEF2F7"/>
          </w:tcPr>
          <w:p>
            <w:r>
              <w:rPr>
                <w:sz w:val="18"/>
              </w:rPr>
              <w:t>reportlab</w:t>
            </w:r>
          </w:p>
        </w:tc>
        <w:tc>
          <w:tcPr>
            <w:tcW w:type="dxa" w:w="6480"/>
            <w:shd w:val="clear" w:color="auto" w:fill="EEF2F7"/>
          </w:tcPr>
          <w:p>
            <w:r>
              <w:rPr>
                <w:sz w:val="18"/>
              </w:rPr>
              <w:t>PDF export (pdf_export.py)</w:t>
            </w:r>
          </w:p>
        </w:tc>
      </w:tr>
      <w:tr>
        <w:tc>
          <w:tcPr>
            <w:tcW w:type="dxa" w:w="2160"/>
            <w:shd w:val="clear" w:color="auto" w:fill="FFFFFF"/>
          </w:tcPr>
          <w:p>
            <w:r>
              <w:rPr>
                <w:sz w:val="18"/>
              </w:rPr>
              <w:t>openpyxl</w:t>
            </w:r>
          </w:p>
        </w:tc>
        <w:tc>
          <w:tcPr>
            <w:tcW w:type="dxa" w:w="6480"/>
            <w:shd w:val="clear" w:color="auto" w:fill="FFFFFF"/>
          </w:tcPr>
          <w:p>
            <w:r>
              <w:rPr>
                <w:sz w:val="18"/>
              </w:rPr>
              <w:t>.xlsx export (reports/generators.py)</w:t>
            </w:r>
          </w:p>
        </w:tc>
      </w:tr>
      <w:tr>
        <w:tc>
          <w:tcPr>
            <w:tcW w:type="dxa" w:w="2160"/>
            <w:shd w:val="clear" w:color="auto" w:fill="EEF2F7"/>
          </w:tcPr>
          <w:p>
            <w:r>
              <w:rPr>
                <w:sz w:val="18"/>
              </w:rPr>
              <w:t>urllib (stdlib)</w:t>
            </w:r>
          </w:p>
        </w:tc>
        <w:tc>
          <w:tcPr>
            <w:tcW w:type="dxa" w:w="6480"/>
            <w:shd w:val="clear" w:color="auto" w:fill="EEF2F7"/>
          </w:tcPr>
          <w:p>
            <w:r>
              <w:rPr>
                <w:sz w:val="18"/>
              </w:rPr>
              <w:t>Google Sheets/Drive REST API calls</w:t>
            </w:r>
          </w:p>
        </w:tc>
      </w:tr>
    </w:tbl>
    <w:p/>
    <w:p>
      <w:pPr>
        <w:pStyle w:val="Heading2"/>
        <w:spacing w:before="240" w:after="80"/>
      </w:pPr>
      <w:r>
        <w:t>Proxy</w:t>
      </w:r>
    </w:p>
    <w:p>
      <w:pPr>
        <w:spacing w:after="80"/>
      </w:pPr>
      <w:r>
        <w:t>localhost:80 (shared Replit reverse proxy). The raw port (21800) is never hit directly. All curl goes through localhost:80/...</w:t>
      </w:r>
    </w:p>
    <w:p>
      <w:pPr>
        <w:pStyle w:val="Heading2"/>
        <w:spacing w:before="240" w:after="80"/>
      </w:pPr>
      <w:r>
        <w:t>File tree — important files</w:t>
      </w:r>
    </w:p>
    <w:p>
      <w:pPr>
        <w:spacing w:after="0" w:before="0"/>
        <w:shd w:val="clear" w:color="auto" w:fill="F2F2F2"/>
      </w:pPr>
      <w:r>
        <w:rPr>
          <w:rFonts w:ascii="Courier New" w:hAnsi="Courier New"/>
          <w:sz w:val="17"/>
        </w:rPr>
        <w:t>artifacts/prayag/</w:t>
      </w:r>
    </w:p>
    <w:p>
      <w:pPr>
        <w:spacing w:after="0" w:before="0"/>
        <w:shd w:val="clear" w:color="auto" w:fill="F2F2F2"/>
      </w:pPr>
      <w:r>
        <w:rPr>
          <w:rFonts w:ascii="Courier New" w:hAnsi="Courier New"/>
          <w:sz w:val="17"/>
        </w:rPr>
        <w:t>├── app.py                Entry point: all Flask routes, period parsing, data pipeline</w:t>
      </w:r>
    </w:p>
    <w:p>
      <w:pPr>
        <w:spacing w:after="0" w:before="0"/>
        <w:shd w:val="clear" w:color="auto" w:fill="F2F2F2"/>
      </w:pPr>
      <w:r>
        <w:rPr>
          <w:rFonts w:ascii="Courier New" w:hAnsi="Courier New"/>
          <w:sz w:val="17"/>
        </w:rPr>
        <w:t>├── sources.py            Registry: every Google Sheet file ID, plant→parser mapping</w:t>
      </w:r>
    </w:p>
    <w:p>
      <w:pPr>
        <w:spacing w:after="0" w:before="0"/>
        <w:shd w:val="clear" w:color="auto" w:fill="F2F2F2"/>
      </w:pPr>
      <w:r>
        <w:rPr>
          <w:rFonts w:ascii="Courier New" w:hAnsi="Courier New"/>
          <w:sz w:val="17"/>
        </w:rPr>
        <w:t>├── sheets.py             Ingestion: Drive/Sheets readers, caching (L1→L2→L3), _DAILY_LAYOUTS</w:t>
      </w:r>
    </w:p>
    <w:p>
      <w:pPr>
        <w:spacing w:after="0" w:before="0"/>
        <w:shd w:val="clear" w:color="auto" w:fill="F2F2F2"/>
      </w:pPr>
      <w:r>
        <w:rPr>
          <w:rFonts w:ascii="Courier New" w:hAnsi="Courier New"/>
          <w:sz w:val="17"/>
        </w:rPr>
        <w:t>├── parsers.py            Deterministic cell parsers for every sheet layout</w:t>
      </w:r>
    </w:p>
    <w:p>
      <w:pPr>
        <w:spacing w:after="0" w:before="0"/>
        <w:shd w:val="clear" w:color="auto" w:fill="F2F2F2"/>
      </w:pPr>
      <w:r>
        <w:rPr>
          <w:rFonts w:ascii="Courier New" w:hAnsi="Courier New"/>
          <w:sz w:val="17"/>
        </w:rPr>
        <w:t>├── pipe_reconcile.py     PIPE Report-5 ↔ Report-11 date-wise MAX reconciliation</w:t>
      </w:r>
    </w:p>
    <w:p>
      <w:pPr>
        <w:spacing w:after="0" w:before="0"/>
        <w:shd w:val="clear" w:color="auto" w:fill="F2F2F2"/>
      </w:pPr>
      <w:r>
        <w:rPr>
          <w:rFonts w:ascii="Courier New" w:hAnsi="Courier New"/>
          <w:sz w:val="17"/>
        </w:rPr>
        <w:t>├── metrics.py            Record dataclass + compute_metrics (all arithmetic, no AI)</w:t>
      </w:r>
    </w:p>
    <w:p>
      <w:pPr>
        <w:spacing w:after="0" w:before="0"/>
        <w:shd w:val="clear" w:color="auto" w:fill="F2F2F2"/>
      </w:pPr>
      <w:r>
        <w:rPr>
          <w:rFonts w:ascii="Courier New" w:hAnsi="Courier New"/>
          <w:sz w:val="17"/>
        </w:rPr>
        <w:t>├── confirm.py            Four-tier Data Confirmation (pure, no network)</w:t>
      </w:r>
    </w:p>
    <w:p>
      <w:pPr>
        <w:spacing w:after="0" w:before="0"/>
        <w:shd w:val="clear" w:color="auto" w:fill="F2F2F2"/>
      </w:pPr>
      <w:r>
        <w:rPr>
          <w:rFonts w:ascii="Courier New" w:hAnsi="Courier New"/>
          <w:sz w:val="17"/>
        </w:rPr>
        <w:t>├── verify.py             Read-only Data Verification + provenance</w:t>
      </w:r>
    </w:p>
    <w:p>
      <w:pPr>
        <w:spacing w:after="0" w:before="0"/>
        <w:shd w:val="clear" w:color="auto" w:fill="F2F2F2"/>
      </w:pPr>
      <w:r>
        <w:rPr>
          <w:rFonts w:ascii="Courier New" w:hAnsi="Courier New"/>
          <w:sz w:val="17"/>
        </w:rPr>
        <w:t>├── recon.py              Reconciliation badge engine (daily-first vs summary grid)</w:t>
      </w:r>
    </w:p>
    <w:p>
      <w:pPr>
        <w:spacing w:after="0" w:before="0"/>
        <w:shd w:val="clear" w:color="auto" w:fill="F2F2F2"/>
      </w:pPr>
      <w:r>
        <w:rPr>
          <w:rFonts w:ascii="Courier New" w:hAnsi="Courier New"/>
          <w:sz w:val="17"/>
        </w:rPr>
        <w:t>├── freshness.py          Spreadsheet change tracking (content-hash fingerprints)</w:t>
      </w:r>
    </w:p>
    <w:p>
      <w:pPr>
        <w:spacing w:after="0" w:before="0"/>
        <w:shd w:val="clear" w:color="auto" w:fill="F2F2F2"/>
      </w:pPr>
      <w:r>
        <w:rPr>
          <w:rFonts w:ascii="Courier New" w:hAnsi="Courier New"/>
          <w:sz w:val="17"/>
        </w:rPr>
        <w:t>├── narrative.py          Claude prose + code matching (never reads figures)</w:t>
      </w:r>
    </w:p>
    <w:p>
      <w:pPr>
        <w:spacing w:after="0" w:before="0"/>
        <w:shd w:val="clear" w:color="auto" w:fill="F2F2F2"/>
      </w:pPr>
      <w:r>
        <w:rPr>
          <w:rFonts w:ascii="Courier New" w:hAnsi="Courier New"/>
          <w:sz w:val="17"/>
        </w:rPr>
        <w:t>├── store.py              Postgres durable stores (sign-offs, acks, overrides, L2 cache)</w:t>
      </w:r>
    </w:p>
    <w:p>
      <w:pPr>
        <w:spacing w:after="0" w:before="0"/>
        <w:shd w:val="clear" w:color="auto" w:fill="F2F2F2"/>
      </w:pPr>
      <w:r>
        <w:rPr>
          <w:rFonts w:ascii="Courier New" w:hAnsi="Courier New"/>
          <w:sz w:val="17"/>
        </w:rPr>
        <w:t>├── ideal_hours.py        Ideal-hours precedence resolution + app defaults</w:t>
      </w:r>
    </w:p>
    <w:p>
      <w:pPr>
        <w:spacing w:after="0" w:before="0"/>
        <w:shd w:val="clear" w:color="auto" w:fill="F2F2F2"/>
      </w:pPr>
      <w:r>
        <w:rPr>
          <w:rFonts w:ascii="Courier New" w:hAnsi="Courier New"/>
          <w:sz w:val="17"/>
        </w:rPr>
        <w:t>├── baselines.py          baselines.json reader (per-machine planned hours config)</w:t>
      </w:r>
    </w:p>
    <w:p>
      <w:pPr>
        <w:spacing w:after="0" w:before="0"/>
        <w:shd w:val="clear" w:color="auto" w:fill="F2F2F2"/>
      </w:pPr>
      <w:r>
        <w:rPr>
          <w:rFonts w:ascii="Courier New" w:hAnsi="Courier New"/>
          <w:sz w:val="17"/>
        </w:rPr>
        <w:t>├── baselines.json        Per-machine planned-hours config file</w:t>
      </w:r>
    </w:p>
    <w:p>
      <w:pPr>
        <w:spacing w:after="0" w:before="0"/>
        <w:shd w:val="clear" w:color="auto" w:fill="F2F2F2"/>
      </w:pPr>
      <w:r>
        <w:rPr>
          <w:rFonts w:ascii="Courier New" w:hAnsi="Courier New"/>
          <w:sz w:val="17"/>
        </w:rPr>
        <w:t>├── validate.py           full_validate() — validation layer on top of metrics</w:t>
      </w:r>
    </w:p>
    <w:p>
      <w:pPr>
        <w:spacing w:after="0" w:before="0"/>
        <w:shd w:val="clear" w:color="auto" w:fill="F2F2F2"/>
      </w:pPr>
      <w:r>
        <w:rPr>
          <w:rFonts w:ascii="Courier New" w:hAnsi="Courier New"/>
          <w:sz w:val="17"/>
        </w:rPr>
        <w:t>├── manifest.py           Ingestion manifest builder (coverage/schema flags)</w:t>
      </w:r>
    </w:p>
    <w:p>
      <w:pPr>
        <w:spacing w:after="0" w:before="0"/>
        <w:shd w:val="clear" w:color="auto" w:fill="F2F2F2"/>
      </w:pPr>
      <w:r>
        <w:rPr>
          <w:rFonts w:ascii="Courier New" w:hAnsi="Courier New"/>
          <w:sz w:val="17"/>
        </w:rPr>
        <w:t>├── segment_inputs.py     Manual segment-labour/cost entries</w:t>
      </w:r>
    </w:p>
    <w:p>
      <w:pPr>
        <w:spacing w:after="0" w:before="0"/>
        <w:shd w:val="clear" w:color="auto" w:fill="F2F2F2"/>
      </w:pPr>
      <w:r>
        <w:rPr>
          <w:rFonts w:ascii="Courier New" w:hAnsi="Courier New"/>
          <w:sz w:val="17"/>
        </w:rPr>
        <w:t>├── compound.py           Compound data reader/roller (CP fittings)</w:t>
      </w:r>
    </w:p>
    <w:p>
      <w:pPr>
        <w:spacing w:after="0" w:before="0"/>
        <w:shd w:val="clear" w:color="auto" w:fill="F2F2F2"/>
      </w:pPr>
      <w:r>
        <w:rPr>
          <w:rFonts w:ascii="Courier New" w:hAnsi="Courier New"/>
          <w:sz w:val="17"/>
        </w:rPr>
        <w:t>├── pdf_export.py         ReportLab PDF generation for report + AI report</w:t>
      </w:r>
    </w:p>
    <w:p>
      <w:pPr>
        <w:spacing w:after="0" w:before="0"/>
        <w:shd w:val="clear" w:color="auto" w:fill="F2F2F2"/>
      </w:pPr>
      <w:r>
        <w:rPr>
          <w:rFonts w:ascii="Courier New" w:hAnsi="Courier New"/>
          <w:sz w:val="17"/>
        </w:rPr>
        <w:t>├── glossary.py           GLOSSARY, FORMULAS, RATING_BANDS constants</w:t>
      </w:r>
    </w:p>
    <w:p>
      <w:pPr>
        <w:spacing w:after="0" w:before="0"/>
        <w:shd w:val="clear" w:color="auto" w:fill="F2F2F2"/>
      </w:pPr>
      <w:r>
        <w:rPr>
          <w:rFonts w:ascii="Courier New" w:hAnsi="Courier New"/>
          <w:sz w:val="17"/>
        </w:rPr>
        <w:t>├── api.py                Thin JSON API surface (used by the API-server artifact)</w:t>
      </w:r>
    </w:p>
    <w:p>
      <w:pPr>
        <w:spacing w:after="0" w:before="0"/>
        <w:shd w:val="clear" w:color="auto" w:fill="F2F2F2"/>
      </w:pPr>
      <w:r>
        <w:rPr>
          <w:rFonts w:ascii="Courier New" w:hAnsi="Courier New"/>
          <w:sz w:val="17"/>
        </w:rPr>
        <w:t>├── export_pipe_calc.py   Pipe-specific export calculation helpers</w:t>
      </w:r>
    </w:p>
    <w:p>
      <w:pPr>
        <w:spacing w:after="0" w:before="0"/>
        <w:shd w:val="clear" w:color="auto" w:fill="F2F2F2"/>
      </w:pPr>
      <w:r>
        <w:rPr>
          <w:rFonts w:ascii="Courier New" w:hAnsi="Courier New"/>
          <w:sz w:val="17"/>
        </w:rPr>
        <w:t>├── export_plant_calc.py  Generic plant export calculation helpers</w:t>
      </w:r>
    </w:p>
    <w:p>
      <w:pPr>
        <w:spacing w:after="0" w:before="0"/>
        <w:shd w:val="clear" w:color="auto" w:fill="F2F2F2"/>
      </w:pPr>
      <w:r>
        <w:rPr>
          <w:rFonts w:ascii="Courier New" w:hAnsi="Courier New"/>
          <w:sz w:val="17"/>
        </w:rPr>
        <w:t>├── reports/</w:t>
      </w:r>
    </w:p>
    <w:p>
      <w:pPr>
        <w:spacing w:after="0" w:before="0"/>
        <w:shd w:val="clear" w:color="auto" w:fill="F2F2F2"/>
      </w:pPr>
      <w:r>
        <w:rPr>
          <w:rFonts w:ascii="Courier New" w:hAnsi="Courier New"/>
          <w:sz w:val="17"/>
        </w:rPr>
        <w:t>│   ├── registry.py       Single source of truth for all management report definitions</w:t>
      </w:r>
    </w:p>
    <w:p>
      <w:pPr>
        <w:spacing w:after="0" w:before="0"/>
        <w:shd w:val="clear" w:color="auto" w:fill="F2F2F2"/>
      </w:pPr>
      <w:r>
        <w:rPr>
          <w:rFonts w:ascii="Courier New" w:hAnsi="Courier New"/>
          <w:sz w:val="17"/>
        </w:rPr>
        <w:t>│   └── generators.py     Per-report .xlsx generators (recomputed values, no live formulas)</w:t>
      </w:r>
    </w:p>
    <w:p>
      <w:pPr>
        <w:spacing w:after="0" w:before="0"/>
        <w:shd w:val="clear" w:color="auto" w:fill="F2F2F2"/>
      </w:pPr>
      <w:r>
        <w:rPr>
          <w:rFonts w:ascii="Courier New" w:hAnsi="Courier New"/>
          <w:sz w:val="17"/>
        </w:rPr>
        <w:t>└── templates/</w:t>
      </w:r>
    </w:p>
    <w:p>
      <w:pPr>
        <w:spacing w:after="0" w:before="0"/>
        <w:shd w:val="clear" w:color="auto" w:fill="F2F2F2"/>
      </w:pPr>
      <w:r>
        <w:rPr>
          <w:rFonts w:ascii="Courier New" w:hAnsi="Courier New"/>
          <w:sz w:val="17"/>
        </w:rPr>
        <w:t xml:space="preserve">    ├── base.html                  Master layout (nav, period picker, sync status)</w:t>
      </w:r>
    </w:p>
    <w:p>
      <w:pPr>
        <w:spacing w:after="0" w:before="0"/>
        <w:shd w:val="clear" w:color="auto" w:fill="F2F2F2"/>
      </w:pPr>
      <w:r>
        <w:rPr>
          <w:rFonts w:ascii="Courier New" w:hAnsi="Courier New"/>
          <w:sz w:val="17"/>
        </w:rPr>
        <w:t xml:space="preserve">    ├── overview.html              Home dashboard: plant summary grid + trend chart</w:t>
      </w:r>
    </w:p>
    <w:p>
      <w:pPr>
        <w:spacing w:after="0" w:before="0"/>
        <w:shd w:val="clear" w:color="auto" w:fill="F2F2F2"/>
      </w:pPr>
      <w:r>
        <w:rPr>
          <w:rFonts w:ascii="Courier New" w:hAnsi="Courier New"/>
          <w:sz w:val="17"/>
        </w:rPr>
        <w:t xml:space="preserve">    ├── plant.html                 Per-plant list view</w:t>
      </w:r>
    </w:p>
    <w:p>
      <w:pPr>
        <w:spacing w:after="0" w:before="0"/>
        <w:shd w:val="clear" w:color="auto" w:fill="F2F2F2"/>
      </w:pPr>
      <w:r>
        <w:rPr>
          <w:rFonts w:ascii="Courier New" w:hAnsi="Courier New"/>
          <w:sz w:val="17"/>
        </w:rPr>
        <w:t xml:space="preserve">    ├── machine.html               Per-machine list sorted by headline KPI</w:t>
      </w:r>
    </w:p>
    <w:p>
      <w:pPr>
        <w:spacing w:after="0" w:before="0"/>
        <w:shd w:val="clear" w:color="auto" w:fill="F2F2F2"/>
      </w:pPr>
      <w:r>
        <w:rPr>
          <w:rFonts w:ascii="Courier New" w:hAnsi="Courier New"/>
          <w:sz w:val="17"/>
        </w:rPr>
        <w:t xml:space="preserve">    ├── losses.html                Downtime Pareto chart</w:t>
      </w:r>
    </w:p>
    <w:p>
      <w:pPr>
        <w:spacing w:after="0" w:before="0"/>
        <w:shd w:val="clear" w:color="auto" w:fill="F2F2F2"/>
      </w:pPr>
      <w:r>
        <w:rPr>
          <w:rFonts w:ascii="Courier New" w:hAnsi="Courier New"/>
          <w:sz w:val="17"/>
        </w:rPr>
        <w:t xml:space="preserve">    ├── confirmation.html          Four-tier audit gate + sign-off UI</w:t>
      </w:r>
    </w:p>
    <w:p>
      <w:pPr>
        <w:spacing w:after="0" w:before="0"/>
        <w:shd w:val="clear" w:color="auto" w:fill="F2F2F2"/>
      </w:pPr>
      <w:r>
        <w:rPr>
          <w:rFonts w:ascii="Courier New" w:hAnsi="Courier New"/>
          <w:sz w:val="17"/>
        </w:rPr>
        <w:t xml:space="preserve">    ├── verify.html                Data verification table + provenance</w:t>
      </w:r>
    </w:p>
    <w:p>
      <w:pPr>
        <w:spacing w:after="0" w:before="0"/>
        <w:shd w:val="clear" w:color="auto" w:fill="F2F2F2"/>
      </w:pPr>
      <w:r>
        <w:rPr>
          <w:rFonts w:ascii="Courier New" w:hAnsi="Courier New"/>
          <w:sz w:val="17"/>
        </w:rPr>
        <w:t xml:space="preserve">    ├── data_health.html           Freshness panel, plant status, workbook table</w:t>
      </w:r>
    </w:p>
    <w:p>
      <w:pPr>
        <w:spacing w:after="0" w:before="0"/>
        <w:shd w:val="clear" w:color="auto" w:fill="F2F2F2"/>
      </w:pPr>
      <w:r>
        <w:rPr>
          <w:rFonts w:ascii="Courier New" w:hAnsi="Courier New"/>
          <w:sz w:val="17"/>
        </w:rPr>
        <w:t xml:space="preserve">    ├── detected_sources.html      Data sources + Index catalogue</w:t>
      </w:r>
    </w:p>
    <w:p>
      <w:pPr>
        <w:spacing w:after="0" w:before="0"/>
        <w:shd w:val="clear" w:color="auto" w:fill="F2F2F2"/>
      </w:pPr>
      <w:r>
        <w:rPr>
          <w:rFonts w:ascii="Courier New" w:hAnsi="Courier New"/>
          <w:sz w:val="17"/>
        </w:rPr>
        <w:t xml:space="preserve">    ├── manifest.html              Ingestion manifest (coverage gaps, schema flags)</w:t>
      </w:r>
    </w:p>
    <w:p>
      <w:pPr>
        <w:spacing w:after="0" w:before="0"/>
        <w:shd w:val="clear" w:color="auto" w:fill="F2F2F2"/>
      </w:pPr>
      <w:r>
        <w:rPr>
          <w:rFonts w:ascii="Courier New" w:hAnsi="Courier New"/>
          <w:sz w:val="17"/>
        </w:rPr>
        <w:t xml:space="preserve">    ├── glossary.html              In-app formula reference</w:t>
      </w:r>
    </w:p>
    <w:p>
      <w:pPr>
        <w:spacing w:after="0" w:before="0"/>
        <w:shd w:val="clear" w:color="auto" w:fill="F2F2F2"/>
      </w:pPr>
      <w:r>
        <w:rPr>
          <w:rFonts w:ascii="Courier New" w:hAnsi="Courier New"/>
          <w:sz w:val="17"/>
        </w:rPr>
        <w:t xml:space="preserve">    ├── ideal_input.html           Manager ideal-hours override form</w:t>
      </w:r>
    </w:p>
    <w:p>
      <w:pPr>
        <w:spacing w:after="0" w:before="0"/>
        <w:shd w:val="clear" w:color="auto" w:fill="F2F2F2"/>
      </w:pPr>
      <w:r>
        <w:rPr>
          <w:rFonts w:ascii="Courier New" w:hAnsi="Courier New"/>
          <w:sz w:val="17"/>
        </w:rPr>
        <w:t xml:space="preserve">    ├── reports.html               Report index</w:t>
      </w:r>
    </w:p>
    <w:p>
      <w:pPr>
        <w:spacing w:after="0" w:before="0"/>
        <w:shd w:val="clear" w:color="auto" w:fill="F2F2F2"/>
      </w:pPr>
      <w:r>
        <w:rPr>
          <w:rFonts w:ascii="Courier New" w:hAnsi="Courier New"/>
          <w:sz w:val="17"/>
        </w:rPr>
        <w:t xml:space="preserve">    ├── management_reports.html    Management reports list + download index</w:t>
      </w:r>
    </w:p>
    <w:p>
      <w:pPr>
        <w:spacing w:after="0" w:before="0"/>
        <w:shd w:val="clear" w:color="auto" w:fill="F2F2F2"/>
      </w:pPr>
      <w:r>
        <w:rPr>
          <w:rFonts w:ascii="Courier New" w:hAnsi="Courier New"/>
          <w:sz w:val="17"/>
        </w:rPr>
        <w:t xml:space="preserve">    ├── report_detail.html         Per-report table + recon badge + AI narrative button</w:t>
      </w:r>
    </w:p>
    <w:p>
      <w:pPr>
        <w:spacing w:after="0" w:before="0"/>
        <w:shd w:val="clear" w:color="auto" w:fill="F2F2F2"/>
      </w:pPr>
      <w:r>
        <w:rPr>
          <w:rFonts w:ascii="Courier New" w:hAnsi="Courier New"/>
          <w:sz w:val="17"/>
        </w:rPr>
        <w:t xml:space="preserve">    ├── report_compound.html       Compound (CP fittings) report</w:t>
      </w:r>
    </w:p>
    <w:p>
      <w:pPr>
        <w:spacing w:after="0" w:before="0"/>
        <w:shd w:val="clear" w:color="auto" w:fill="F2F2F2"/>
      </w:pPr>
      <w:r>
        <w:rPr>
          <w:rFonts w:ascii="Courier New" w:hAnsi="Courier New"/>
          <w:sz w:val="17"/>
        </w:rPr>
        <w:t xml:space="preserve">    ├── report_gom_summary.html    Group-of-Moulding tonnage-band summary</w:t>
      </w:r>
    </w:p>
    <w:p>
      <w:pPr>
        <w:spacing w:after="0" w:before="0"/>
        <w:shd w:val="clear" w:color="auto" w:fill="F2F2F2"/>
      </w:pPr>
      <w:r>
        <w:rPr>
          <w:rFonts w:ascii="Courier New" w:hAnsi="Courier New"/>
          <w:sz w:val="17"/>
        </w:rPr>
        <w:t xml:space="preserve">    ├── report_pipe_moulds.html    PIPE moulds summary (Reports 17-20)</w:t>
      </w:r>
    </w:p>
    <w:p>
      <w:pPr>
        <w:spacing w:after="0" w:before="0"/>
        <w:shd w:val="clear" w:color="auto" w:fill="F2F2F2"/>
      </w:pPr>
      <w:r>
        <w:rPr>
          <w:rFonts w:ascii="Courier New" w:hAnsi="Courier New"/>
          <w:sz w:val="17"/>
        </w:rPr>
        <w:t xml:space="preserve">    ├── report_segment_labour.html Segment-labour cost report</w:t>
      </w:r>
    </w:p>
    <w:p>
      <w:pPr>
        <w:spacing w:after="0" w:before="0"/>
        <w:shd w:val="clear" w:color="auto" w:fill="F2F2F2"/>
      </w:pPr>
      <w:r>
        <w:rPr>
          <w:rFonts w:ascii="Courier New" w:hAnsi="Courier New"/>
          <w:sz w:val="17"/>
        </w:rPr>
        <w:t xml:space="preserve">    ├── report_tank_location.html  Tank per-location detail (VN, WB)</w:t>
      </w:r>
    </w:p>
    <w:p>
      <w:pPr>
        <w:spacing w:after="0" w:before="0"/>
        <w:shd w:val="clear" w:color="auto" w:fill="F2F2F2"/>
      </w:pPr>
      <w:r>
        <w:rPr>
          <w:rFonts w:ascii="Courier New" w:hAnsi="Courier New"/>
          <w:sz w:val="17"/>
        </w:rPr>
        <w:t xml:space="preserve">    ├── _recon_badge.html          Reconciliation badge partial</w:t>
      </w:r>
    </w:p>
    <w:p>
      <w:pPr>
        <w:spacing w:after="0" w:before="0"/>
        <w:shd w:val="clear" w:color="auto" w:fill="F2F2F2"/>
      </w:pPr>
      <w:r>
        <w:rPr>
          <w:rFonts w:ascii="Courier New" w:hAnsi="Courier New"/>
          <w:sz w:val="17"/>
        </w:rPr>
        <w:t xml:space="preserve">    ├── _freshness_panel.html      Spreadsheet-change freshness partial</w:t>
      </w:r>
    </w:p>
    <w:p>
      <w:pPr>
        <w:spacing w:after="0" w:before="0"/>
        <w:shd w:val="clear" w:color="auto" w:fill="F2F2F2"/>
      </w:pPr>
      <w:r>
        <w:rPr>
          <w:rFonts w:ascii="Courier New" w:hAnsi="Courier New"/>
          <w:sz w:val="17"/>
        </w:rPr>
        <w:t xml:space="preserve">    ├── _macros.html               Reusable UI components (KPI cards, badges, sparklines)</w:t>
      </w:r>
    </w:p>
    <w:p>
      <w:pPr>
        <w:spacing w:after="0" w:before="0"/>
        <w:shd w:val="clear" w:color="auto" w:fill="F2F2F2"/>
      </w:pPr>
      <w:r>
        <w:rPr>
          <w:rFonts w:ascii="Courier New" w:hAnsi="Courier New"/>
          <w:sz w:val="17"/>
        </w:rPr>
        <w:t xml:space="preserve">    ├── _ai_report.html            AI analytical report rendered section partial</w:t>
      </w:r>
    </w:p>
    <w:p>
      <w:pPr>
        <w:spacing w:after="0" w:before="0"/>
        <w:shd w:val="clear" w:color="auto" w:fill="F2F2F2"/>
      </w:pPr>
      <w:r>
        <w:rPr>
          <w:rFonts w:ascii="Courier New" w:hAnsi="Courier New"/>
          <w:sz w:val="17"/>
        </w:rPr>
        <w:t xml:space="preserve">    ├── api_key.html               API key management</w:t>
      </w:r>
    </w:p>
    <w:p>
      <w:pPr>
        <w:spacing w:after="0" w:before="0"/>
        <w:shd w:val="clear" w:color="auto" w:fill="F2F2F2"/>
      </w:pPr>
      <w:r>
        <w:rPr>
          <w:rFonts w:ascii="Courier New" w:hAnsi="Courier New"/>
          <w:sz w:val="17"/>
        </w:rPr>
        <w:t xml:space="preserve">    └── sheet_error.html           Error page for SheetReadError</w:t>
      </w:r>
    </w:p>
    <w:p/>
    <w:p>
      <w:pPr>
        <w:pStyle w:val="Heading1"/>
        <w:spacing w:before="360" w:after="120"/>
      </w:pPr>
      <w:r>
        <w:t>2. Data Sources</w:t>
      </w:r>
    </w:p>
    <w:p>
      <w:pPr>
        <w:pStyle w:val="Heading2"/>
        <w:spacing w:before="240" w:after="80"/>
      </w:pPr>
      <w:r>
        <w:t>Authentication</w:t>
      </w:r>
    </w:p>
    <w:p>
      <w:pPr>
        <w:spacing w:after="80"/>
      </w:pPr>
      <w:r>
        <w:t>The Replit google-sheet integration provides an OAuth2 access token. sheets._get_access_token() fetches it from the integration connector API. The scope is drive.file, which means the connected account can read files explicitly shared with it but cannot list arbitrary Drive folders. That is why every workbook is registered by explicit file ID in sources.py — folder auto-discovery is impossible with this scope.</w:t>
      </w:r>
    </w:p>
    <w:p>
      <w:pPr>
        <w:spacing w:after="80"/>
      </w:pPr>
      <w:r>
        <w:t>Exception: sheets.ensure_daily_discovery() attempts files.list on pinned folder IDs using a separate google-drive connector token. This works for cross-owner files (e.g. the July-2026 PIPE workbook owned by a different Google account) but is best-effort.</w:t>
      </w:r>
    </w:p>
    <w:p>
      <w:pPr>
        <w:pStyle w:val="Heading2"/>
        <w:spacing w:before="240" w:after="80"/>
      </w:pPr>
      <w:r>
        <w:t>Annual (monthly-grain) summary workbooks — sources.ANNUAL_SOURCES</w:t>
      </w:r>
    </w:p>
    <w:tbl>
      <w:tblPr>
        <w:tblStyle w:val="TableGrid"/>
        <w:tblW w:type="auto" w:w="0"/>
        <w:tblLook w:firstColumn="1" w:firstRow="1" w:lastColumn="0" w:lastRow="0" w:noHBand="0" w:noVBand="1" w:val="04A0"/>
      </w:tblPr>
      <w:tblGrid>
        <w:gridCol w:w="2268"/>
        <w:gridCol w:w="2268"/>
        <w:gridCol w:w="2268"/>
        <w:gridCol w:w="2268"/>
      </w:tblGrid>
      <w:tr>
        <w:tc>
          <w:tcPr>
            <w:tcW w:type="dxa" w:w="1440"/>
            <w:shd w:val="clear" w:color="auto" w:fill="1F3864"/>
          </w:tcPr>
          <w:p>
            <w:r>
              <w:rPr>
                <w:b/>
                <w:color w:val="FFFFFF"/>
                <w:sz w:val="18"/>
              </w:rPr>
              <w:t>Plant</w:t>
            </w:r>
          </w:p>
        </w:tc>
        <w:tc>
          <w:tcPr>
            <w:tcW w:type="dxa" w:w="3600"/>
            <w:shd w:val="clear" w:color="auto" w:fill="1F3864"/>
          </w:tcPr>
          <w:p>
            <w:r>
              <w:rPr>
                <w:b/>
                <w:color w:val="FFFFFF"/>
                <w:sz w:val="18"/>
              </w:rPr>
              <w:t>Workbook</w:t>
            </w:r>
          </w:p>
        </w:tc>
        <w:tc>
          <w:tcPr>
            <w:tcW w:type="dxa" w:w="2592"/>
            <w:shd w:val="clear" w:color="auto" w:fill="1F3864"/>
          </w:tcPr>
          <w:p>
            <w:r>
              <w:rPr>
                <w:b/>
                <w:color w:val="FFFFFF"/>
                <w:sz w:val="18"/>
              </w:rPr>
              <w:t>Tab</w:t>
            </w:r>
          </w:p>
        </w:tc>
        <w:tc>
          <w:tcPr>
            <w:tcW w:type="dxa" w:w="1440"/>
            <w:shd w:val="clear" w:color="auto" w:fill="1F3864"/>
          </w:tcPr>
          <w:p>
            <w:r>
              <w:rPr>
                <w:b/>
                <w:color w:val="FFFFFF"/>
                <w:sz w:val="18"/>
              </w:rPr>
              <w:t>Kind</w:t>
            </w:r>
          </w:p>
        </w:tc>
      </w:tr>
      <w:tr>
        <w:tc>
          <w:tcPr>
            <w:tcW w:type="dxa" w:w="1440"/>
            <w:shd w:val="clear" w:color="auto" w:fill="FFFFFF"/>
          </w:tcPr>
          <w:p>
            <w:r>
              <w:rPr>
                <w:sz w:val="18"/>
              </w:rPr>
              <w:t>PIPE</w:t>
            </w:r>
          </w:p>
        </w:tc>
        <w:tc>
          <w:tcPr>
            <w:tcW w:type="dxa" w:w="3600"/>
            <w:shd w:val="clear" w:color="auto" w:fill="FFFFFF"/>
          </w:tcPr>
          <w:p>
            <w:r>
              <w:rPr>
                <w:sz w:val="18"/>
              </w:rPr>
              <w:t>Pipe M/C Summary (26-27)</w:t>
            </w:r>
          </w:p>
        </w:tc>
        <w:tc>
          <w:tcPr>
            <w:tcW w:type="dxa" w:w="2592"/>
            <w:shd w:val="clear" w:color="auto" w:fill="FFFFFF"/>
          </w:tcPr>
          <w:p>
            <w:r>
              <w:rPr>
                <w:sz w:val="18"/>
              </w:rPr>
              <w:t>Pipe M/C 26-27</w:t>
            </w:r>
          </w:p>
        </w:tc>
        <w:tc>
          <w:tcPr>
            <w:tcW w:type="dxa" w:w="1440"/>
            <w:shd w:val="clear" w:color="auto" w:fill="FFFFFF"/>
          </w:tcPr>
          <w:p>
            <w:r>
              <w:rPr>
                <w:sz w:val="18"/>
              </w:rPr>
              <w:t>mc_grid</w:t>
            </w:r>
          </w:p>
        </w:tc>
      </w:tr>
      <w:tr>
        <w:tc>
          <w:tcPr>
            <w:tcW w:type="dxa" w:w="1440"/>
            <w:shd w:val="clear" w:color="auto" w:fill="EEF2F7"/>
          </w:tcPr>
          <w:p>
            <w:r>
              <w:rPr>
                <w:sz w:val="18"/>
              </w:rPr>
              <w:t>GARDEN</w:t>
            </w:r>
          </w:p>
        </w:tc>
        <w:tc>
          <w:tcPr>
            <w:tcW w:type="dxa" w:w="3600"/>
            <w:shd w:val="clear" w:color="auto" w:fill="EEF2F7"/>
          </w:tcPr>
          <w:p>
            <w:r>
              <w:rPr>
                <w:sz w:val="18"/>
              </w:rPr>
              <w:t>Garden Pipe M/C Summary (26-27)</w:t>
            </w:r>
          </w:p>
        </w:tc>
        <w:tc>
          <w:tcPr>
            <w:tcW w:type="dxa" w:w="2592"/>
            <w:shd w:val="clear" w:color="auto" w:fill="EEF2F7"/>
          </w:tcPr>
          <w:p>
            <w:r>
              <w:rPr>
                <w:sz w:val="18"/>
              </w:rPr>
              <w:t>GARDEN M/C 26-27</w:t>
            </w:r>
          </w:p>
        </w:tc>
        <w:tc>
          <w:tcPr>
            <w:tcW w:type="dxa" w:w="1440"/>
            <w:shd w:val="clear" w:color="auto" w:fill="EEF2F7"/>
          </w:tcPr>
          <w:p>
            <w:r>
              <w:rPr>
                <w:sz w:val="18"/>
              </w:rPr>
              <w:t>mc_grid</w:t>
            </w:r>
          </w:p>
        </w:tc>
      </w:tr>
      <w:tr>
        <w:tc>
          <w:tcPr>
            <w:tcW w:type="dxa" w:w="1440"/>
            <w:shd w:val="clear" w:color="auto" w:fill="FFFFFF"/>
          </w:tcPr>
          <w:p>
            <w:r>
              <w:rPr>
                <w:sz w:val="18"/>
              </w:rPr>
              <w:t>HDPE</w:t>
            </w:r>
          </w:p>
        </w:tc>
        <w:tc>
          <w:tcPr>
            <w:tcW w:type="dxa" w:w="3600"/>
            <w:shd w:val="clear" w:color="auto" w:fill="FFFFFF"/>
          </w:tcPr>
          <w:p>
            <w:r>
              <w:rPr>
                <w:sz w:val="18"/>
              </w:rPr>
              <w:t>HDPE M/C Summary (26-27)</w:t>
            </w:r>
          </w:p>
        </w:tc>
        <w:tc>
          <w:tcPr>
            <w:tcW w:type="dxa" w:w="2592"/>
            <w:shd w:val="clear" w:color="auto" w:fill="FFFFFF"/>
          </w:tcPr>
          <w:p>
            <w:r>
              <w:rPr>
                <w:sz w:val="18"/>
              </w:rPr>
              <w:t>HDPE M/C 26-27</w:t>
            </w:r>
          </w:p>
        </w:tc>
        <w:tc>
          <w:tcPr>
            <w:tcW w:type="dxa" w:w="1440"/>
            <w:shd w:val="clear" w:color="auto" w:fill="FFFFFF"/>
          </w:tcPr>
          <w:p>
            <w:r>
              <w:rPr>
                <w:sz w:val="18"/>
              </w:rPr>
              <w:t>mc_grid</w:t>
            </w:r>
          </w:p>
        </w:tc>
      </w:tr>
      <w:tr>
        <w:tc>
          <w:tcPr>
            <w:tcW w:type="dxa" w:w="1440"/>
            <w:shd w:val="clear" w:color="auto" w:fill="EEF2F7"/>
          </w:tcPr>
          <w:p>
            <w:r>
              <w:rPr>
                <w:sz w:val="18"/>
              </w:rPr>
              <w:t>MOULDING</w:t>
            </w:r>
          </w:p>
        </w:tc>
        <w:tc>
          <w:tcPr>
            <w:tcW w:type="dxa" w:w="3600"/>
            <w:shd w:val="clear" w:color="auto" w:fill="EEF2F7"/>
          </w:tcPr>
          <w:p>
            <w:r>
              <w:rPr>
                <w:sz w:val="18"/>
              </w:rPr>
              <w:t>Moulding M/C Summary (26-27)</w:t>
            </w:r>
          </w:p>
        </w:tc>
        <w:tc>
          <w:tcPr>
            <w:tcW w:type="dxa" w:w="2592"/>
            <w:shd w:val="clear" w:color="auto" w:fill="EEF2F7"/>
          </w:tcPr>
          <w:p>
            <w:r>
              <w:rPr>
                <w:sz w:val="18"/>
              </w:rPr>
              <w:t>Moulding M/C 26-27</w:t>
            </w:r>
          </w:p>
        </w:tc>
        <w:tc>
          <w:tcPr>
            <w:tcW w:type="dxa" w:w="1440"/>
            <w:shd w:val="clear" w:color="auto" w:fill="EEF2F7"/>
          </w:tcPr>
          <w:p>
            <w:r>
              <w:rPr>
                <w:sz w:val="18"/>
              </w:rPr>
              <w:t>mc_grid</w:t>
            </w:r>
          </w:p>
        </w:tc>
      </w:tr>
    </w:tbl>
    <w:p/>
    <w:p>
      <w:pPr>
        <w:spacing w:after="80"/>
      </w:pPr>
      <w:r>
        <w:t>These are the reconciliation reference only, not the headline source. They undercount vs the daily files because daily workbooks capture machine-days the monthly grid misses.</w:t>
      </w:r>
    </w:p>
    <w:p>
      <w:pPr>
        <w:pStyle w:val="Heading2"/>
        <w:spacing w:before="240" w:after="80"/>
      </w:pPr>
      <w:r>
        <w:t>Daily (per-month) workbooks — sources.DAILY_SOURCES</w:t>
      </w:r>
    </w:p>
    <w:tbl>
      <w:tblPr>
        <w:tblStyle w:val="TableGrid"/>
        <w:tblW w:type="auto" w:w="0"/>
        <w:tblLook w:firstColumn="1" w:firstRow="1" w:lastColumn="0" w:lastRow="0" w:noHBand="0" w:noVBand="1" w:val="04A0"/>
      </w:tblPr>
      <w:tblGrid>
        <w:gridCol w:w="3024"/>
        <w:gridCol w:w="3024"/>
        <w:gridCol w:w="3024"/>
      </w:tblGrid>
      <w:tr>
        <w:tc>
          <w:tcPr>
            <w:tcW w:type="dxa" w:w="1440"/>
            <w:shd w:val="clear" w:color="auto" w:fill="1F3864"/>
          </w:tcPr>
          <w:p>
            <w:r>
              <w:rPr>
                <w:b/>
                <w:color w:val="FFFFFF"/>
                <w:sz w:val="18"/>
              </w:rPr>
              <w:t>Plant key</w:t>
            </w:r>
          </w:p>
        </w:tc>
        <w:tc>
          <w:tcPr>
            <w:tcW w:type="dxa" w:w="2160"/>
            <w:shd w:val="clear" w:color="auto" w:fill="1F3864"/>
          </w:tcPr>
          <w:p>
            <w:r>
              <w:rPr>
                <w:b/>
                <w:color w:val="FFFFFF"/>
                <w:sz w:val="18"/>
              </w:rPr>
              <w:t>Months wired</w:t>
            </w:r>
          </w:p>
        </w:tc>
        <w:tc>
          <w:tcPr>
            <w:tcW w:type="dxa" w:w="5472"/>
            <w:shd w:val="clear" w:color="auto" w:fill="1F3864"/>
          </w:tcPr>
          <w:p>
            <w:r>
              <w:rPr>
                <w:b/>
                <w:color w:val="FFFFFF"/>
                <w:sz w:val="18"/>
              </w:rPr>
              <w:t>Notes</w:t>
            </w:r>
          </w:p>
        </w:tc>
      </w:tr>
      <w:tr>
        <w:tc>
          <w:tcPr>
            <w:tcW w:type="dxa" w:w="1440"/>
            <w:shd w:val="clear" w:color="auto" w:fill="FFFFFF"/>
          </w:tcPr>
          <w:p>
            <w:r>
              <w:rPr>
                <w:sz w:val="18"/>
              </w:rPr>
              <w:t>PIPE</w:t>
            </w:r>
          </w:p>
        </w:tc>
        <w:tc>
          <w:tcPr>
            <w:tcW w:type="dxa" w:w="2160"/>
            <w:shd w:val="clear" w:color="auto" w:fill="FFFFFF"/>
          </w:tcPr>
          <w:p>
            <w:r>
              <w:rPr>
                <w:sz w:val="18"/>
              </w:rPr>
              <w:t>2025-04 → 2026-07</w:t>
            </w:r>
          </w:p>
        </w:tc>
        <w:tc>
          <w:tcPr>
            <w:tcW w:type="dxa" w:w="5472"/>
            <w:shd w:val="clear" w:color="auto" w:fill="FFFFFF"/>
          </w:tcPr>
          <w:p>
            <w:r>
              <w:rPr>
                <w:sz w:val="18"/>
              </w:rPr>
              <w:t>Also contains MOULDING Report-12 and PIPE Moulds Reports 17-20</w:t>
            </w:r>
          </w:p>
        </w:tc>
      </w:tr>
      <w:tr>
        <w:tc>
          <w:tcPr>
            <w:tcW w:type="dxa" w:w="1440"/>
            <w:shd w:val="clear" w:color="auto" w:fill="EEF2F7"/>
          </w:tcPr>
          <w:p>
            <w:r>
              <w:rPr>
                <w:sz w:val="18"/>
              </w:rPr>
              <w:t>PTMT</w:t>
            </w:r>
          </w:p>
        </w:tc>
        <w:tc>
          <w:tcPr>
            <w:tcW w:type="dxa" w:w="2160"/>
            <w:shd w:val="clear" w:color="auto" w:fill="EEF2F7"/>
          </w:tcPr>
          <w:p>
            <w:r>
              <w:rPr>
                <w:sz w:val="18"/>
              </w:rPr>
              <w:t>2026-04 → 2026-07</w:t>
            </w:r>
          </w:p>
        </w:tc>
        <w:tc>
          <w:tcPr>
            <w:tcW w:type="dxa" w:w="5472"/>
            <w:shd w:val="clear" w:color="auto" w:fill="EEF2F7"/>
          </w:tcPr>
          <w:p>
            <w:r>
              <w:rPr>
                <w:sz w:val="18"/>
              </w:rPr>
            </w:r>
          </w:p>
        </w:tc>
      </w:tr>
      <w:tr>
        <w:tc>
          <w:tcPr>
            <w:tcW w:type="dxa" w:w="1440"/>
            <w:shd w:val="clear" w:color="auto" w:fill="FFFFFF"/>
          </w:tcPr>
          <w:p>
            <w:r>
              <w:rPr>
                <w:sz w:val="18"/>
              </w:rPr>
              <w:t>GARDEN</w:t>
            </w:r>
          </w:p>
        </w:tc>
        <w:tc>
          <w:tcPr>
            <w:tcW w:type="dxa" w:w="2160"/>
            <w:shd w:val="clear" w:color="auto" w:fill="FFFFFF"/>
          </w:tcPr>
          <w:p>
            <w:r>
              <w:rPr>
                <w:sz w:val="18"/>
              </w:rPr>
              <w:t>2026-04 → 2026-07</w:t>
            </w:r>
          </w:p>
        </w:tc>
        <w:tc>
          <w:tcPr>
            <w:tcW w:type="dxa" w:w="5472"/>
            <w:shd w:val="clear" w:color="auto" w:fill="FFFFFF"/>
          </w:tcPr>
          <w:p>
            <w:r>
              <w:rPr>
                <w:sz w:val="18"/>
              </w:rPr>
            </w:r>
          </w:p>
        </w:tc>
      </w:tr>
      <w:tr>
        <w:tc>
          <w:tcPr>
            <w:tcW w:type="dxa" w:w="1440"/>
            <w:shd w:val="clear" w:color="auto" w:fill="EEF2F7"/>
          </w:tcPr>
          <w:p>
            <w:r>
              <w:rPr>
                <w:sz w:val="18"/>
              </w:rPr>
              <w:t>HDPE</w:t>
            </w:r>
          </w:p>
        </w:tc>
        <w:tc>
          <w:tcPr>
            <w:tcW w:type="dxa" w:w="2160"/>
            <w:shd w:val="clear" w:color="auto" w:fill="EEF2F7"/>
          </w:tcPr>
          <w:p>
            <w:r>
              <w:rPr>
                <w:sz w:val="18"/>
              </w:rPr>
              <w:t>2026-04 → 2026-07</w:t>
            </w:r>
          </w:p>
        </w:tc>
        <w:tc>
          <w:tcPr>
            <w:tcW w:type="dxa" w:w="5472"/>
            <w:shd w:val="clear" w:color="auto" w:fill="EEF2F7"/>
          </w:tcPr>
          <w:p>
            <w:r>
              <w:rPr>
                <w:sz w:val="18"/>
              </w:rPr>
            </w:r>
          </w:p>
        </w:tc>
      </w:tr>
      <w:tr>
        <w:tc>
          <w:tcPr>
            <w:tcW w:type="dxa" w:w="1440"/>
            <w:shd w:val="clear" w:color="auto" w:fill="FFFFFF"/>
          </w:tcPr>
          <w:p>
            <w:r>
              <w:rPr>
                <w:sz w:val="18"/>
              </w:rPr>
              <w:t>TANK</w:t>
            </w:r>
          </w:p>
        </w:tc>
        <w:tc>
          <w:tcPr>
            <w:tcW w:type="dxa" w:w="2160"/>
            <w:shd w:val="clear" w:color="auto" w:fill="FFFFFF"/>
          </w:tcPr>
          <w:p>
            <w:r>
              <w:rPr>
                <w:sz w:val="18"/>
              </w:rPr>
              <w:t>2026-04 → 2026-06</w:t>
            </w:r>
          </w:p>
        </w:tc>
        <w:tc>
          <w:tcPr>
            <w:tcW w:type="dxa" w:w="5472"/>
            <w:shd w:val="clear" w:color="auto" w:fill="FFFFFF"/>
          </w:tcPr>
          <w:p>
            <w:r>
              <w:rPr>
                <w:sz w:val="18"/>
              </w:rPr>
              <w:t>KH/Khandala stream</w:t>
            </w:r>
          </w:p>
        </w:tc>
      </w:tr>
      <w:tr>
        <w:tc>
          <w:tcPr>
            <w:tcW w:type="dxa" w:w="1440"/>
            <w:shd w:val="clear" w:color="auto" w:fill="EEF2F7"/>
          </w:tcPr>
          <w:p>
            <w:r>
              <w:rPr>
                <w:sz w:val="18"/>
              </w:rPr>
              <w:t>TANK_VN</w:t>
            </w:r>
          </w:p>
        </w:tc>
        <w:tc>
          <w:tcPr>
            <w:tcW w:type="dxa" w:w="2160"/>
            <w:shd w:val="clear" w:color="auto" w:fill="EEF2F7"/>
          </w:tcPr>
          <w:p>
            <w:r>
              <w:rPr>
                <w:sz w:val="18"/>
              </w:rPr>
              <w:t>2026-06 → 2026-07</w:t>
            </w:r>
          </w:p>
        </w:tc>
        <w:tc>
          <w:tcPr>
            <w:tcW w:type="dxa" w:w="5472"/>
            <w:shd w:val="clear" w:color="auto" w:fill="EEF2F7"/>
          </w:tcPr>
          <w:p>
            <w:r>
              <w:rPr>
                <w:sz w:val="18"/>
              </w:rPr>
              <w:t>Vasna stream</w:t>
            </w:r>
          </w:p>
        </w:tc>
      </w:tr>
      <w:tr>
        <w:tc>
          <w:tcPr>
            <w:tcW w:type="dxa" w:w="1440"/>
            <w:shd w:val="clear" w:color="auto" w:fill="FFFFFF"/>
          </w:tcPr>
          <w:p>
            <w:r>
              <w:rPr>
                <w:sz w:val="18"/>
              </w:rPr>
              <w:t>TANK_WB</w:t>
            </w:r>
          </w:p>
        </w:tc>
        <w:tc>
          <w:tcPr>
            <w:tcW w:type="dxa" w:w="2160"/>
            <w:shd w:val="clear" w:color="auto" w:fill="FFFFFF"/>
          </w:tcPr>
          <w:p>
            <w:r>
              <w:rPr>
                <w:sz w:val="18"/>
              </w:rPr>
              <w:t>2026-07 only</w:t>
            </w:r>
          </w:p>
        </w:tc>
        <w:tc>
          <w:tcPr>
            <w:tcW w:type="dxa" w:w="5472"/>
            <w:shd w:val="clear" w:color="auto" w:fill="FFFFFF"/>
          </w:tcPr>
          <w:p>
            <w:r>
              <w:rPr>
                <w:sz w:val="18"/>
              </w:rPr>
              <w:t>Wambori stream</w:t>
            </w:r>
          </w:p>
        </w:tc>
      </w:tr>
      <w:tr>
        <w:tc>
          <w:tcPr>
            <w:tcW w:type="dxa" w:w="1440"/>
            <w:shd w:val="clear" w:color="auto" w:fill="EEF2F7"/>
          </w:tcPr>
          <w:p>
            <w:r>
              <w:rPr>
                <w:sz w:val="18"/>
              </w:rPr>
              <w:t>CP</w:t>
            </w:r>
          </w:p>
        </w:tc>
        <w:tc>
          <w:tcPr>
            <w:tcW w:type="dxa" w:w="2160"/>
            <w:shd w:val="clear" w:color="auto" w:fill="EEF2F7"/>
          </w:tcPr>
          <w:p>
            <w:r>
              <w:rPr>
                <w:sz w:val="18"/>
              </w:rPr>
              <w:t>empty dict</w:t>
            </w:r>
          </w:p>
        </w:tc>
        <w:tc>
          <w:tcPr>
            <w:tcW w:type="dxa" w:w="5472"/>
            <w:shd w:val="clear" w:color="auto" w:fill="EEF2F7"/>
          </w:tcPr>
          <w:p>
            <w:r>
              <w:rPr>
                <w:sz w:val="18"/>
              </w:rPr>
              <w:t>Wired, no files yet</w:t>
            </w:r>
          </w:p>
        </w:tc>
      </w:tr>
    </w:tbl>
    <w:p/>
    <w:p>
      <w:pPr>
        <w:spacing w:after="80"/>
      </w:pPr>
      <w:r>
        <w:t>New months must be registered here manually when the factory creates them (sources.DAILY_SOURCES[plant]["files"]["YYYY-MM"] = file_id).</w:t>
      </w:r>
    </w:p>
    <w:p>
      <w:pPr>
        <w:pStyle w:val="Heading2"/>
        <w:spacing w:before="240" w:after="80"/>
      </w:pPr>
      <w:r>
        <w:t>EMPTY_SOURCES</w:t>
      </w:r>
    </w:p>
    <w:p>
      <w:pPr>
        <w:spacing w:after="80"/>
      </w:pPr>
      <w:r>
        <w:t>sources.EMPTY_SOURCES is a set of (plant, "YYYY-MM") tuples for known-empty templates. Currently just ("PIPE", "2025-08"). The loader skips the read and surfaces these as "empty / awaiting source" — never a genuine zero-output month.</w:t>
      </w:r>
    </w:p>
    <w:p>
      <w:pPr>
        <w:pStyle w:val="Heading2"/>
        <w:spacing w:before="240" w:after="80"/>
      </w:pPr>
      <w:r>
        <w:t>Report-only sources — sources.REPORT_SOURCES</w:t>
      </w:r>
    </w:p>
    <w:tbl>
      <w:tblPr>
        <w:tblStyle w:val="TableGrid"/>
        <w:tblW w:type="auto" w:w="0"/>
        <w:tblLook w:firstColumn="1" w:firstRow="1" w:lastColumn="0" w:lastRow="0" w:noHBand="0" w:noVBand="1" w:val="04A0"/>
      </w:tblPr>
      <w:tblGrid>
        <w:gridCol w:w="4536"/>
        <w:gridCol w:w="4536"/>
      </w:tblGrid>
      <w:tr>
        <w:tc>
          <w:tcPr>
            <w:tcW w:type="dxa" w:w="1872"/>
            <w:shd w:val="clear" w:color="auto" w:fill="1F3864"/>
          </w:tcPr>
          <w:p>
            <w:r>
              <w:rPr>
                <w:b/>
                <w:color w:val="FFFFFF"/>
                <w:sz w:val="18"/>
              </w:rPr>
              <w:t>Family</w:t>
            </w:r>
          </w:p>
        </w:tc>
        <w:tc>
          <w:tcPr>
            <w:tcW w:type="dxa" w:w="7200"/>
            <w:shd w:val="clear" w:color="auto" w:fill="1F3864"/>
          </w:tcPr>
          <w:p>
            <w:r>
              <w:rPr>
                <w:b/>
                <w:color w:val="FFFFFF"/>
                <w:sz w:val="18"/>
              </w:rPr>
              <w:t>What</w:t>
            </w:r>
          </w:p>
        </w:tc>
      </w:tr>
      <w:tr>
        <w:tc>
          <w:tcPr>
            <w:tcW w:type="dxa" w:w="1872"/>
            <w:shd w:val="clear" w:color="auto" w:fill="FFFFFF"/>
          </w:tcPr>
          <w:p>
            <w:r>
              <w:rPr>
                <w:sz w:val="18"/>
              </w:rPr>
              <w:t>gom</w:t>
            </w:r>
          </w:p>
        </w:tc>
        <w:tc>
          <w:tcPr>
            <w:tcW w:type="dxa" w:w="7200"/>
            <w:shd w:val="clear" w:color="auto" w:fill="FFFFFF"/>
          </w:tcPr>
          <w:p>
            <w:r>
              <w:rPr>
                <w:sz w:val="18"/>
              </w:rPr>
              <w:t>Group-of-Moulding, both FYs (tonnage-band summary)</w:t>
            </w:r>
          </w:p>
        </w:tc>
      </w:tr>
      <w:tr>
        <w:tc>
          <w:tcPr>
            <w:tcW w:type="dxa" w:w="1872"/>
            <w:shd w:val="clear" w:color="auto" w:fill="EEF2F7"/>
          </w:tcPr>
          <w:p>
            <w:r>
              <w:rPr>
                <w:sz w:val="18"/>
              </w:rPr>
              <w:t>tank_vn</w:t>
            </w:r>
          </w:p>
        </w:tc>
        <w:tc>
          <w:tcPr>
            <w:tcW w:type="dxa" w:w="7200"/>
            <w:shd w:val="clear" w:color="auto" w:fill="EEF2F7"/>
          </w:tcPr>
          <w:p>
            <w:r>
              <w:rPr>
                <w:sz w:val="18"/>
              </w:rPr>
              <w:t>VN annual summary, both FYs</w:t>
            </w:r>
          </w:p>
        </w:tc>
      </w:tr>
      <w:tr>
        <w:tc>
          <w:tcPr>
            <w:tcW w:type="dxa" w:w="1872"/>
            <w:shd w:val="clear" w:color="auto" w:fill="FFFFFF"/>
          </w:tcPr>
          <w:p>
            <w:r>
              <w:rPr>
                <w:sz w:val="18"/>
              </w:rPr>
              <w:t>tank_wb</w:t>
            </w:r>
          </w:p>
        </w:tc>
        <w:tc>
          <w:tcPr>
            <w:tcW w:type="dxa" w:w="7200"/>
            <w:shd w:val="clear" w:color="auto" w:fill="FFFFFF"/>
          </w:tcPr>
          <w:p>
            <w:r>
              <w:rPr>
                <w:sz w:val="18"/>
              </w:rPr>
              <w:t>WB annual summary, both FYs</w:t>
            </w:r>
          </w:p>
        </w:tc>
      </w:tr>
      <w:tr>
        <w:tc>
          <w:tcPr>
            <w:tcW w:type="dxa" w:w="1872"/>
            <w:shd w:val="clear" w:color="auto" w:fill="EEF2F7"/>
          </w:tcPr>
          <w:p>
            <w:r>
              <w:rPr>
                <w:sz w:val="18"/>
              </w:rPr>
              <w:t>tank_kh</w:t>
            </w:r>
          </w:p>
        </w:tc>
        <w:tc>
          <w:tcPr>
            <w:tcW w:type="dxa" w:w="7200"/>
            <w:shd w:val="clear" w:color="auto" w:fill="EEF2F7"/>
          </w:tcPr>
          <w:p>
            <w:r>
              <w:rPr>
                <w:sz w:val="18"/>
              </w:rPr>
              <w:t>KH 25-26 history (26-27 is the daily path)</w:t>
            </w:r>
          </w:p>
        </w:tc>
      </w:tr>
      <w:tr>
        <w:tc>
          <w:tcPr>
            <w:tcW w:type="dxa" w:w="1872"/>
            <w:shd w:val="clear" w:color="auto" w:fill="FFFFFF"/>
          </w:tcPr>
          <w:p>
            <w:r>
              <w:rPr>
                <w:sz w:val="18"/>
              </w:rPr>
              <w:t>seg_labour</w:t>
            </w:r>
          </w:p>
        </w:tc>
        <w:tc>
          <w:tcPr>
            <w:tcW w:type="dxa" w:w="7200"/>
            <w:shd w:val="clear" w:color="auto" w:fill="FFFFFF"/>
          </w:tcPr>
          <w:p>
            <w:r>
              <w:rPr>
                <w:sz w:val="18"/>
              </w:rPr>
              <w:t>Segment Labour both FYs (multi-tab: UNIT-1/2/3)</w:t>
            </w:r>
          </w:p>
        </w:tc>
      </w:tr>
    </w:tbl>
    <w:p/>
    <w:p>
      <w:pPr>
        <w:spacing w:after="80"/>
      </w:pPr>
      <w:r>
        <w:t>NOT loaded by the main dashboard (would time out the health check). Loaded on demand by sheets.load_report_records().</w:t>
      </w:r>
    </w:p>
    <w:p>
      <w:pPr>
        <w:pStyle w:val="Heading2"/>
        <w:spacing w:before="240" w:after="80"/>
      </w:pPr>
      <w:r>
        <w:t>Segments handled</w:t>
      </w:r>
    </w:p>
    <w:p>
      <w:pPr>
        <w:spacing w:after="80"/>
      </w:pPr>
      <w:r>
        <w:t>PIPE, GARDEN, HDPE, MOULDING, PTMT, TANK (KH), TANK_VN, TANK_WB, CP (wired / no data yet), GOM (Group-of-Moulding, report-only).</w:t>
      </w:r>
    </w:p>
    <w:p>
      <w:pPr>
        <w:pStyle w:val="Heading2"/>
        <w:spacing w:before="240" w:after="80"/>
      </w:pPr>
      <w:r>
        <w:t>Plant → location mapping (sources.PLANT_LOCATIONS)</w:t>
      </w:r>
    </w:p>
    <w:tbl>
      <w:tblPr>
        <w:tblStyle w:val="TableGrid"/>
        <w:tblW w:type="auto" w:w="0"/>
        <w:tblLook w:firstColumn="1" w:firstRow="1" w:lastColumn="0" w:lastRow="0" w:noHBand="0" w:noVBand="1" w:val="04A0"/>
      </w:tblPr>
      <w:tblGrid>
        <w:gridCol w:w="4536"/>
        <w:gridCol w:w="4536"/>
      </w:tblGrid>
      <w:tr>
        <w:tc>
          <w:tcPr>
            <w:tcW w:type="dxa" w:w="4320"/>
            <w:shd w:val="clear" w:color="auto" w:fill="1F3864"/>
          </w:tcPr>
          <w:p>
            <w:r>
              <w:rPr>
                <w:b/>
                <w:color w:val="FFFFFF"/>
                <w:sz w:val="18"/>
              </w:rPr>
              <w:t>Plant</w:t>
            </w:r>
          </w:p>
        </w:tc>
        <w:tc>
          <w:tcPr>
            <w:tcW w:type="dxa" w:w="4752"/>
            <w:shd w:val="clear" w:color="auto" w:fill="1F3864"/>
          </w:tcPr>
          <w:p>
            <w:r>
              <w:rPr>
                <w:b/>
                <w:color w:val="FFFFFF"/>
                <w:sz w:val="18"/>
              </w:rPr>
              <w:t>Location</w:t>
            </w:r>
          </w:p>
        </w:tc>
      </w:tr>
      <w:tr>
        <w:tc>
          <w:tcPr>
            <w:tcW w:type="dxa" w:w="4320"/>
            <w:shd w:val="clear" w:color="auto" w:fill="FFFFFF"/>
          </w:tcPr>
          <w:p>
            <w:r>
              <w:rPr>
                <w:sz w:val="18"/>
              </w:rPr>
              <w:t>PIPE, GARDEN, HDPE, MOULDING, CP, TANK</w:t>
            </w:r>
          </w:p>
        </w:tc>
        <w:tc>
          <w:tcPr>
            <w:tcW w:type="dxa" w:w="4752"/>
            <w:shd w:val="clear" w:color="auto" w:fill="FFFFFF"/>
          </w:tcPr>
          <w:p>
            <w:r>
              <w:rPr>
                <w:sz w:val="18"/>
              </w:rPr>
              <w:t>KH (Khandala)</w:t>
            </w:r>
          </w:p>
        </w:tc>
      </w:tr>
      <w:tr>
        <w:tc>
          <w:tcPr>
            <w:tcW w:type="dxa" w:w="4320"/>
            <w:shd w:val="clear" w:color="auto" w:fill="EEF2F7"/>
          </w:tcPr>
          <w:p>
            <w:r>
              <w:rPr>
                <w:sz w:val="18"/>
              </w:rPr>
              <w:t>PTMT</w:t>
            </w:r>
          </w:p>
        </w:tc>
        <w:tc>
          <w:tcPr>
            <w:tcW w:type="dxa" w:w="4752"/>
            <w:shd w:val="clear" w:color="auto" w:fill="EEF2F7"/>
          </w:tcPr>
          <w:p>
            <w:r>
              <w:rPr>
                <w:sz w:val="18"/>
              </w:rPr>
              <w:t>Bhiwari</w:t>
            </w:r>
          </w:p>
        </w:tc>
      </w:tr>
      <w:tr>
        <w:tc>
          <w:tcPr>
            <w:tcW w:type="dxa" w:w="4320"/>
            <w:shd w:val="clear" w:color="auto" w:fill="FFFFFF"/>
          </w:tcPr>
          <w:p>
            <w:r>
              <w:rPr>
                <w:sz w:val="18"/>
              </w:rPr>
              <w:t>TANK_VN</w:t>
            </w:r>
          </w:p>
        </w:tc>
        <w:tc>
          <w:tcPr>
            <w:tcW w:type="dxa" w:w="4752"/>
            <w:shd w:val="clear" w:color="auto" w:fill="FFFFFF"/>
          </w:tcPr>
          <w:p>
            <w:r>
              <w:rPr>
                <w:sz w:val="18"/>
              </w:rPr>
              <w:t>VN (Vasna)</w:t>
            </w:r>
          </w:p>
        </w:tc>
      </w:tr>
      <w:tr>
        <w:tc>
          <w:tcPr>
            <w:tcW w:type="dxa" w:w="4320"/>
            <w:shd w:val="clear" w:color="auto" w:fill="EEF2F7"/>
          </w:tcPr>
          <w:p>
            <w:r>
              <w:rPr>
                <w:sz w:val="18"/>
              </w:rPr>
              <w:t>TANK_WB</w:t>
            </w:r>
          </w:p>
        </w:tc>
        <w:tc>
          <w:tcPr>
            <w:tcW w:type="dxa" w:w="4752"/>
            <w:shd w:val="clear" w:color="auto" w:fill="EEF2F7"/>
          </w:tcPr>
          <w:p>
            <w:r>
              <w:rPr>
                <w:sz w:val="18"/>
              </w:rPr>
              <w:t>WB (Wambori)</w:t>
            </w:r>
          </w:p>
        </w:tc>
      </w:tr>
    </w:tbl>
    <w:p/>
    <w:p>
      <w:pPr>
        <w:pStyle w:val="Heading1"/>
        <w:spacing w:before="360" w:after="120"/>
      </w:pPr>
      <w:r>
        <w:t>3. Ingestion &amp; Parsing Layer</w:t>
      </w:r>
    </w:p>
    <w:p>
      <w:pPr>
        <w:pStyle w:val="Heading2"/>
        <w:spacing w:before="240" w:after="80"/>
      </w:pPr>
      <w:r>
        <w:t>High-level flow</w:t>
      </w:r>
    </w:p>
    <w:p>
      <w:pPr>
        <w:spacing w:after="80"/>
      </w:pPr>
      <w:r>
        <w:t>sheets.get_daily_records(months) is the authoritative call for headline figures. It reads daily workbooks in parallel (ThreadPoolExecutor), dispatching each plant-month to the layout config in sheets._DAILY_LAYOUTS[plant]. Monthly summary sheets.get_records(months) reads ANNUAL_SOURCES for reconciliation. Both return (records, source_reports, warnings).</w:t>
      </w:r>
    </w:p>
    <w:p>
      <w:pPr>
        <w:spacing w:after="80"/>
      </w:pPr>
      <w:r>
        <w:t>sheets._DAILY_LAYOUTS is the central wiring table — a dict mapping each plant key to a list of layout specs. Each spec says which tab to read, which parser to call, and what options to pass (ideal_col, pipe_reconcile, report11_tab, layout). This is the single place that connects "plant + month" to "parser + columns".</w:t>
      </w:r>
    </w:p>
    <w:p>
      <w:pPr>
        <w:spacing w:after="80"/>
      </w:pPr>
      <w:r>
        <w:t>All parsers are header-based. They search for column headers by keyword or regex, not by hard-coded column index. The layout survives the factory inserting or moving columns mid-year.</w:t>
      </w:r>
    </w:p>
    <w:p>
      <w:pPr>
        <w:pStyle w:val="Heading2"/>
        <w:spacing w:before="240" w:after="80"/>
      </w:pPr>
      <w:r>
        <w:t>PIPE — sheets._emit_pipe / pipe_reconcile.reconcile_pipe</w:t>
      </w:r>
    </w:p>
    <w:p>
      <w:pPr>
        <w:pStyle w:val="ListBullet"/>
        <w:spacing w:after="40"/>
        <w:ind w:left="360"/>
      </w:pPr>
      <w:r>
        <w:t>Report-5 tab: wide matrix, machines as rows, dates as columns. Read by parsers.parse_daily_matrix. Key columns found by header: machine label (col A), ideal hours per month (Report5_IDEAL_COL = col M, flat 500 h/machine/month for PIPE), one output column per calendar date. Run hours come from a separate row-block in the same tab.</w:t>
      </w:r>
    </w:p>
    <w:p>
      <w:pPr>
        <w:pStyle w:val="ListBullet"/>
        <w:spacing w:after="40"/>
        <w:ind w:left="360"/>
      </w:pPr>
      <w:r>
        <w:t>Report-11 tab: long list, one row per machine-date. Read by parsers.parse_daily_long. Captures item-journal days that Report-5 omits, and CPVC/UPVC/SWR/AGRI type splits.</w:t>
      </w:r>
    </w:p>
    <w:p>
      <w:pPr>
        <w:pStyle w:val="ListBullet"/>
        <w:spacing w:after="40"/>
        <w:ind w:left="360"/>
      </w:pPr>
      <w:r>
        <w:t>Reconciliation (pipe_reconcile.py): for each (machine, date) pair, the headline output and rejection is the date-wise MAX of Report-5 and Report-11. Neither source is dropped — the union is taken and the higher figure wins per cell. Type splits from Report-11 are pro-rated onto the MAX figure and are audit-only (they never reduce the headline).</w:t>
      </w:r>
    </w:p>
    <w:p>
      <w:pPr>
        <w:pStyle w:val="ListBullet"/>
        <w:spacing w:after="40"/>
        <w:ind w:left="360"/>
      </w:pPr>
      <w:r>
        <w:t>Report-5 TOTAL row: the sheet's own TOTAL row sums a stale machine range and is ignored. The parser sums the individual M/C-n rows directly.</w:t>
      </w:r>
    </w:p>
    <w:p>
      <w:pPr>
        <w:pStyle w:val="ListBullet"/>
        <w:spacing w:after="40"/>
        <w:ind w:left="360"/>
      </w:pPr>
      <w:r>
        <w:t>Report-5 also contains PIPE Moulds sub-tabs (Reports 17-20), read separately by sheets.load_pipe_moulds via a bounded batch_get.</w:t>
      </w:r>
    </w:p>
    <w:p>
      <w:pPr>
        <w:pStyle w:val="Heading2"/>
        <w:spacing w:before="240" w:after="80"/>
      </w:pPr>
      <w:r>
        <w:t>MOULDING — parsers.parse_daily_long (Report-12)</w:t>
      </w:r>
    </w:p>
    <w:p>
      <w:pPr>
        <w:pStyle w:val="ListBullet"/>
        <w:spacing w:after="40"/>
        <w:ind w:left="360"/>
      </w:pPr>
      <w:r>
        <w:t>Report-12 lives inside the same daily PIPE workbook. One row per machine-date.</w:t>
      </w:r>
    </w:p>
    <w:p>
      <w:pPr>
        <w:pStyle w:val="ListBullet"/>
        <w:spacing w:after="40"/>
        <w:ind w:left="360"/>
      </w:pPr>
      <w:r>
        <w:t>Columns found by header: machine/mould name, date, output in kg ("Wt in Kgs" column), rejection.</w:t>
      </w:r>
    </w:p>
    <w:p>
      <w:pPr>
        <w:pStyle w:val="ListBullet"/>
        <w:spacing w:after="40"/>
        <w:ind w:left="360"/>
      </w:pPr>
      <w:r>
        <w:t>Output unit: kg. No ideal-output rate → output efficiency not available, only utilisation.</w:t>
      </w:r>
    </w:p>
    <w:p>
      <w:pPr>
        <w:pStyle w:val="ListBullet"/>
        <w:spacing w:after="40"/>
        <w:ind w:left="360"/>
      </w:pPr>
      <w:r>
        <w:t>No separate annual grid for MOULDING. The PIPE daily workbook's Report-12 tab is the only source.</w:t>
      </w:r>
    </w:p>
    <w:p>
      <w:pPr>
        <w:pStyle w:val="Heading2"/>
        <w:spacing w:before="240" w:after="80"/>
      </w:pPr>
      <w:r>
        <w:t>GARDEN — parsers.parse_daily_blocks (per-machine block tabs)</w:t>
      </w:r>
    </w:p>
    <w:p>
      <w:pPr>
        <w:pStyle w:val="ListBullet"/>
        <w:spacing w:after="40"/>
        <w:ind w:left="360"/>
      </w:pPr>
      <w:r>
        <w:t>Each machine has its own tab (e.g. "M/C-1"). parsers.DETAIL_TAB_RE identifies them.</w:t>
      </w:r>
    </w:p>
    <w:p>
      <w:pPr>
        <w:pStyle w:val="ListBullet"/>
        <w:spacing w:after="40"/>
        <w:ind w:left="360"/>
      </w:pPr>
      <w:r>
        <w:t>Block format: a header row per block (machine name, ideal hours), then one row per date with output (kg) and sometimes run hours.</w:t>
      </w:r>
    </w:p>
    <w:p>
      <w:pPr>
        <w:pStyle w:val="ListBullet"/>
        <w:spacing w:after="40"/>
        <w:ind w:left="360"/>
      </w:pPr>
      <w:r>
        <w:t>Run hours joined from a separate "Daily Report" matrix tab when present. Without logged run hours, utilisation is suppressed (runhours_tracked=False).</w:t>
      </w:r>
    </w:p>
    <w:p>
      <w:pPr>
        <w:pStyle w:val="ListBullet"/>
        <w:spacing w:after="40"/>
        <w:ind w:left="360"/>
      </w:pPr>
      <w:r>
        <w:t>Parser quirk: parse_daily_blocks scans both the header row and the first sub-row for the KG column.</w:t>
      </w:r>
    </w:p>
    <w:p>
      <w:pPr>
        <w:pStyle w:val="Heading2"/>
        <w:spacing w:before="240" w:after="80"/>
      </w:pPr>
      <w:r>
        <w:t>HDPE — parsers.parse_daily_blocks</w:t>
      </w:r>
    </w:p>
    <w:p>
      <w:pPr>
        <w:pStyle w:val="ListBullet"/>
        <w:spacing w:after="40"/>
        <w:ind w:left="360"/>
      </w:pPr>
      <w:r>
        <w:t>Same block-tab layout as GARDEN.</w:t>
      </w:r>
    </w:p>
    <w:p>
      <w:pPr>
        <w:pStyle w:val="ListBullet"/>
        <w:spacing w:after="40"/>
        <w:ind w:left="360"/>
      </w:pPr>
      <w:r>
        <w:t>HDPE also publishes its own ideal output rate (kg/hr) in the header block alongside run hours. This makes both utilisation and output efficiency available.</w:t>
      </w:r>
    </w:p>
    <w:p>
      <w:pPr>
        <w:pStyle w:val="ListBullet"/>
        <w:spacing w:after="40"/>
        <w:ind w:left="360"/>
      </w:pPr>
      <w:r>
        <w:t>No monthly summary grid cross-check — daily files are the sole source.</w:t>
      </w:r>
    </w:p>
    <w:p>
      <w:pPr>
        <w:pStyle w:val="Heading2"/>
        <w:spacing w:before="240" w:after="80"/>
      </w:pPr>
      <w:r>
        <w:t>PTMT — parsers.parse_daily_matrix (Report-5 style wide matrix)</w:t>
      </w:r>
    </w:p>
    <w:p>
      <w:pPr>
        <w:pStyle w:val="ListBullet"/>
        <w:spacing w:after="40"/>
        <w:ind w:left="360"/>
      </w:pPr>
      <w:r>
        <w:t>55 machines as rows, dates as columns.</w:t>
      </w:r>
    </w:p>
    <w:p>
      <w:pPr>
        <w:pStyle w:val="ListBullet"/>
        <w:spacing w:after="40"/>
        <w:ind w:left="360"/>
      </w:pPr>
      <w:r>
        <w:t>Ideal hours: column E of the matrix (ideal_col in the layout spec) — 572 h/machine/month, read live from the sheet. NOT the monthly grid's flat 500 placeholder.</w:t>
      </w:r>
    </w:p>
    <w:p>
      <w:pPr>
        <w:pStyle w:val="ListBullet"/>
        <w:spacing w:after="40"/>
        <w:ind w:left="360"/>
      </w:pPr>
      <w:r>
        <w:t>Roster: sources.PTMT_GROUPS — authoritative 55-machine register in five process groups (Injection standard, Injection N-line, Blow Moulding, Corrugator, Grinding). No annual summary grid for PTMT; this roster IS the completeness benchmark.</w:t>
      </w:r>
    </w:p>
    <w:p>
      <w:pPr>
        <w:pStyle w:val="ListBullet"/>
        <w:spacing w:after="40"/>
        <w:ind w:left="360"/>
      </w:pPr>
      <w:r>
        <w:t>Machine labels carry process-group segments ("PTMT – Injection …"), matched by prefix, never as a flat "PTMT" label.</w:t>
      </w:r>
    </w:p>
    <w:p>
      <w:pPr>
        <w:pStyle w:val="ListBullet"/>
        <w:spacing w:after="40"/>
        <w:ind w:left="360"/>
      </w:pPr>
      <w:r>
        <w:t>Rejection lumping: the matrix books whole-month rejection on the last calendar day (no per-date rejection column). The reject &gt; output impossibility check runs at machine-month aggregate grain, not per daily row. Enforced in confirm.py.</w:t>
      </w:r>
    </w:p>
    <w:p>
      <w:pPr>
        <w:pStyle w:val="ListBullet"/>
        <w:spacing w:after="40"/>
        <w:ind w:left="360"/>
      </w:pPr>
      <w:r>
        <w:t>PTMT Grinders are marked is_finishing=True — regrind throughput excluded from plant output in mixed rollups.</w:t>
      </w:r>
    </w:p>
    <w:p>
      <w:pPr>
        <w:pStyle w:val="Heading2"/>
        <w:spacing w:before="240" w:after="80"/>
      </w:pPr>
      <w:r>
        <w:t>TANK (KH) — sheets._emit_tank / parsers.parse_tank_prod</w:t>
      </w:r>
    </w:p>
    <w:p>
      <w:pPr>
        <w:pStyle w:val="ListBullet"/>
        <w:spacing w:after="40"/>
        <w:ind w:left="360"/>
      </w:pPr>
      <w:r>
        <w:t>"PROD. REPORT" tab in each monthly workbook.</w:t>
      </w:r>
    </w:p>
    <w:p>
      <w:pPr>
        <w:pStyle w:val="ListBullet"/>
        <w:spacing w:after="40"/>
        <w:ind w:left="360"/>
      </w:pPr>
      <w:r>
        <w:t>Logged per item (tank size/product), not per machine. No machine identity → plant-level output only, no per-machine OEE.</w:t>
      </w:r>
    </w:p>
    <w:p>
      <w:pPr>
        <w:pStyle w:val="ListBullet"/>
        <w:spacing w:after="40"/>
        <w:ind w:left="360"/>
      </w:pPr>
      <w:r>
        <w:t>Primary unit: resolved by data presence — Ltr → pcs → kg (first column with non-zero totals wins). Stored as Record.unit.</w:t>
      </w:r>
    </w:p>
    <w:p>
      <w:pPr>
        <w:pStyle w:val="ListBullet"/>
        <w:spacing w:after="40"/>
        <w:ind w:left="360"/>
      </w:pPr>
      <w:r>
        <w:t>Rejection (fixed): always kg-basis, fully independent of the primary unit. reject_count = rej_mouth_kg + rej_base_kg (two dedicated kg rejection columns). reject_unit = "kg" on every Tank Record; reject_denominator = prod_kg so rejection % = kg_rej / prod_kg even when primary unit is Ltr.</w:t>
      </w:r>
    </w:p>
    <w:p>
      <w:pPr>
        <w:pStyle w:val="ListBullet"/>
        <w:spacing w:after="40"/>
        <w:ind w:left="360"/>
      </w:pPr>
      <w:r>
        <w:t>Secondary counts (pcs, kg, rej_pcs, rej_ltr) live in Record.secondary_counts — display-only, never used in ratios.</w:t>
      </w:r>
    </w:p>
    <w:p>
      <w:pPr>
        <w:pStyle w:val="ListBullet"/>
        <w:spacing w:after="40"/>
        <w:ind w:left="360"/>
      </w:pPr>
      <w:r>
        <w:t>Utilisation suppressed: runhours_tracked=False — TANK has no run-hours columns.</w:t>
      </w:r>
    </w:p>
    <w:p>
      <w:pPr>
        <w:pStyle w:val="Heading2"/>
        <w:spacing w:before="240" w:after="80"/>
      </w:pPr>
      <w:r>
        <w:t>TANK_VN / TANK_WB — same sheets._emit_tank / parsers.parse_tank_prod</w:t>
      </w:r>
    </w:p>
    <w:p>
      <w:pPr>
        <w:pStyle w:val="ListBullet"/>
        <w:spacing w:after="40"/>
        <w:ind w:left="360"/>
      </w:pPr>
      <w:r>
        <w:t>Same parser, different workbook file IDs.</w:t>
      </w:r>
    </w:p>
    <w:p>
      <w:pPr>
        <w:pStyle w:val="ListBullet"/>
        <w:spacing w:after="40"/>
        <w:ind w:left="360"/>
      </w:pPr>
      <w:r>
        <w:t>KH redirects to the main /?plant=TANK page. VN and WB have a dedicated report_tank_location.html page.</w:t>
      </w:r>
    </w:p>
    <w:p>
      <w:pPr>
        <w:pStyle w:val="Heading2"/>
        <w:spacing w:before="240" w:after="80"/>
      </w:pPr>
      <w:r>
        <w:t>Annual-only parsers (monthly-grain reconciliation reference)</w:t>
      </w:r>
    </w:p>
    <w:p>
      <w:pPr>
        <w:pStyle w:val="ListBullet"/>
        <w:spacing w:after="40"/>
        <w:ind w:left="360"/>
      </w:pPr>
      <w:r>
        <w:t>parsers.parse_mc_grid — mc_grid kind. Wide matrix: machines as rows, months as columns. Produces grain="monthly" Records used only for reconciliation against the daily-first headline.</w:t>
      </w:r>
    </w:p>
    <w:p>
      <w:pPr>
        <w:pStyle w:val="ListBullet"/>
        <w:spacing w:after="40"/>
        <w:ind w:left="360"/>
      </w:pPr>
      <w:r>
        <w:t>parsers.parse_mc_detail — per-machine detail tabs (e.g. "M/C-1") where they exist in the annual workbook. Columns found by header: Ideal Hours, Actual Hours, Actual Output (KG/PCS), Ideal Output rate, Rejection, Runner. Stored ratio cells (Utilisation %, Output Efficiency %) are explicitly ignored — recomputed downstream.</w:t>
      </w:r>
    </w:p>
    <w:p>
      <w:pPr>
        <w:pStyle w:val="Heading2"/>
        <w:spacing w:before="240" w:after="80"/>
      </w:pPr>
      <w:r>
        <w:t>Other parsers</w:t>
      </w:r>
    </w:p>
    <w:p>
      <w:pPr>
        <w:pStyle w:val="ListBullet"/>
        <w:spacing w:after="40"/>
        <w:ind w:left="360"/>
      </w:pPr>
      <w:r>
        <w:t>parsers.parse_gom_grid — Group-of-Moulding tonnage-band summary. Loaded on demand via sheets.load_report_records. Tonnage band assigned per machine label by sources.gom_band().</w:t>
      </w:r>
    </w:p>
    <w:p>
      <w:pPr>
        <w:pStyle w:val="ListBullet"/>
        <w:spacing w:after="40"/>
        <w:ind w:left="360"/>
      </w:pPr>
      <w:r>
        <w:t>sheets.load_pipe_moulds — Reports 17-20 tabs inside the PIPE workbook, read via bounded batch_get. Headline kg from the "PRODUCTION IN KG" column. Partial parse raises an incomplete gate.</w:t>
      </w:r>
    </w:p>
    <w:p>
      <w:pPr>
        <w:pStyle w:val="ListBullet"/>
        <w:spacing w:after="40"/>
        <w:ind w:left="360"/>
      </w:pPr>
      <w:r>
        <w:t>sheets.load_compound_data / compound.py — CP fittings. Wired but no daily files exist yet.</w:t>
      </w:r>
    </w:p>
    <w:p>
      <w:pPr>
        <w:pStyle w:val="ListBullet"/>
        <w:spacing w:after="40"/>
        <w:ind w:left="360"/>
      </w:pPr>
      <w:r>
        <w:t>sheets.load_report_records (kind: seg_labour) — multi-tab (UNIT-1/2/3) labour/power/solar cost per segment. Loaded on demand.</w:t>
      </w:r>
    </w:p>
    <w:p>
      <w:pPr>
        <w:pStyle w:val="Heading1"/>
        <w:spacing w:before="360" w:after="120"/>
      </w:pPr>
      <w:r>
        <w:t>4. Storage &amp; Data Model</w:t>
      </w:r>
    </w:p>
    <w:p>
      <w:pPr>
        <w:pStyle w:val="Heading2"/>
        <w:spacing w:before="240" w:after="80"/>
      </w:pPr>
      <w:r>
        <w:t>Records (in-memory, not persisted directly)</w:t>
      </w:r>
    </w:p>
    <w:p>
      <w:pPr>
        <w:spacing w:after="80"/>
      </w:pPr>
      <w:r>
        <w:t>metrics.Record (a Python @dataclass in metrics.py) is the grain-agnostic row model. Every parser emits a list of Record objects.</w:t>
      </w:r>
    </w:p>
    <w:p>
      <w:pPr>
        <w:spacing w:after="0" w:before="0"/>
        <w:shd w:val="clear" w:color="auto" w:fill="F2F2F2"/>
      </w:pPr>
      <w:r>
        <w:rPr>
          <w:rFonts w:ascii="Courier New" w:hAnsi="Courier New"/>
          <w:sz w:val="17"/>
        </w:rPr>
        <w:t>grain               "monthly" | "daily"</w:t>
      </w:r>
    </w:p>
    <w:p>
      <w:pPr>
        <w:spacing w:after="0" w:before="0"/>
        <w:shd w:val="clear" w:color="auto" w:fill="F2F2F2"/>
      </w:pPr>
      <w:r>
        <w:rPr>
          <w:rFonts w:ascii="Courier New" w:hAnsi="Courier New"/>
          <w:sz w:val="17"/>
        </w:rPr>
        <w:t>period              "2026-04" (monthly) or "2026-04-07" (daily)</w:t>
      </w:r>
    </w:p>
    <w:p>
      <w:pPr>
        <w:spacing w:after="0" w:before="0"/>
        <w:shd w:val="clear" w:color="auto" w:fill="F2F2F2"/>
      </w:pPr>
      <w:r>
        <w:rPr>
          <w:rFonts w:ascii="Courier New" w:hAnsi="Courier New"/>
          <w:sz w:val="17"/>
        </w:rPr>
        <w:t>date                ISO date for trend bucketing</w:t>
      </w:r>
    </w:p>
    <w:p>
      <w:pPr>
        <w:spacing w:after="0" w:before="0"/>
        <w:shd w:val="clear" w:color="auto" w:fill="F2F2F2"/>
      </w:pPr>
      <w:r>
        <w:rPr>
          <w:rFonts w:ascii="Courier New" w:hAnsi="Courier New"/>
          <w:sz w:val="17"/>
        </w:rPr>
        <w:t>plant               "PIPE" | "GARDEN" | "HDPE" | "MOULDING" | "PTMT" | "TANK" | …</w:t>
      </w:r>
    </w:p>
    <w:p>
      <w:pPr>
        <w:spacing w:after="0" w:before="0"/>
        <w:shd w:val="clear" w:color="auto" w:fill="F2F2F2"/>
      </w:pPr>
      <w:r>
        <w:rPr>
          <w:rFonts w:ascii="Courier New" w:hAnsi="Courier New"/>
          <w:sz w:val="17"/>
        </w:rPr>
        <w:t>segment             human segment name ("Pipe", "Garden Pipe", etc.)</w:t>
      </w:r>
    </w:p>
    <w:p>
      <w:pPr>
        <w:spacing w:after="0" w:before="0"/>
        <w:shd w:val="clear" w:color="auto" w:fill="F2F2F2"/>
      </w:pPr>
      <w:r>
        <w:rPr>
          <w:rFonts w:ascii="Courier New" w:hAnsi="Courier New"/>
          <w:sz w:val="17"/>
        </w:rPr>
        <w:t>machine             "M/C-1", "PTMT 80-1", etc.</w:t>
      </w:r>
    </w:p>
    <w:p>
      <w:pPr>
        <w:spacing w:after="0" w:before="0"/>
        <w:shd w:val="clear" w:color="auto" w:fill="F2F2F2"/>
      </w:pPr>
      <w:r>
        <w:rPr>
          <w:rFonts w:ascii="Courier New" w:hAnsi="Courier New"/>
          <w:sz w:val="17"/>
        </w:rPr>
        <w:t>unit                "kg" | "pcs" | "Ltr"  — the row's OWN production unit</w:t>
      </w:r>
    </w:p>
    <w:p>
      <w:pPr>
        <w:spacing w:after="0" w:before="0"/>
        <w:shd w:val="clear" w:color="auto" w:fill="F2F2F2"/>
      </w:pPr>
      <w:r>
        <w:rPr>
          <w:rFonts w:ascii="Courier New" w:hAnsi="Courier New"/>
          <w:sz w:val="17"/>
        </w:rPr>
        <w:t>total_count         actual output in the row's unit</w:t>
      </w:r>
    </w:p>
    <w:p>
      <w:pPr>
        <w:spacing w:after="0" w:before="0"/>
        <w:shd w:val="clear" w:color="auto" w:fill="F2F2F2"/>
      </w:pPr>
      <w:r>
        <w:rPr>
          <w:rFonts w:ascii="Courier New" w:hAnsi="Courier New"/>
          <w:sz w:val="17"/>
        </w:rPr>
        <w:t>reject_count        rejection (in reject_unit if set, else in unit)</w:t>
      </w:r>
    </w:p>
    <w:p>
      <w:pPr>
        <w:spacing w:after="0" w:before="0"/>
        <w:shd w:val="clear" w:color="auto" w:fill="F2F2F2"/>
      </w:pPr>
      <w:r>
        <w:rPr>
          <w:rFonts w:ascii="Courier New" w:hAnsi="Courier New"/>
          <w:sz w:val="17"/>
        </w:rPr>
        <w:t>reject_unit         "" (same as unit) or "kg" (Tank override)</w:t>
      </w:r>
    </w:p>
    <w:p>
      <w:pPr>
        <w:spacing w:after="0" w:before="0"/>
        <w:shd w:val="clear" w:color="auto" w:fill="F2F2F2"/>
      </w:pPr>
      <w:r>
        <w:rPr>
          <w:rFonts w:ascii="Courier New" w:hAnsi="Courier New"/>
          <w:sz w:val="17"/>
        </w:rPr>
        <w:t>reject_denominator  kg production for rejection % denominator (Tank only)</w:t>
      </w:r>
    </w:p>
    <w:p>
      <w:pPr>
        <w:spacing w:after="0" w:before="0"/>
        <w:shd w:val="clear" w:color="auto" w:fill="F2F2F2"/>
      </w:pPr>
      <w:r>
        <w:rPr>
          <w:rFonts w:ascii="Courier New" w:hAnsi="Courier New"/>
          <w:sz w:val="17"/>
        </w:rPr>
        <w:t>actual_hours        run hours recorded</w:t>
      </w:r>
    </w:p>
    <w:p>
      <w:pPr>
        <w:spacing w:after="0" w:before="0"/>
        <w:shd w:val="clear" w:color="auto" w:fill="F2F2F2"/>
      </w:pPr>
      <w:r>
        <w:rPr>
          <w:rFonts w:ascii="Courier New" w:hAnsi="Courier New"/>
          <w:sz w:val="17"/>
        </w:rPr>
        <w:t>ideal_hours         planned/baseline hours used as the utilisation denominator</w:t>
      </w:r>
    </w:p>
    <w:p>
      <w:pPr>
        <w:spacing w:after="0" w:before="0"/>
        <w:shd w:val="clear" w:color="auto" w:fill="F2F2F2"/>
      </w:pPr>
      <w:r>
        <w:rPr>
          <w:rFonts w:ascii="Courier New" w:hAnsi="Courier New"/>
          <w:sz w:val="17"/>
        </w:rPr>
        <w:t>ideal_hours_sheet   raw sheet value before baseline override</w:t>
      </w:r>
    </w:p>
    <w:p>
      <w:pPr>
        <w:spacing w:after="0" w:before="0"/>
        <w:shd w:val="clear" w:color="auto" w:fill="F2F2F2"/>
      </w:pPr>
      <w:r>
        <w:rPr>
          <w:rFonts w:ascii="Courier New" w:hAnsi="Courier New"/>
          <w:sz w:val="17"/>
        </w:rPr>
        <w:t>ideal_source        "config" | "sheet" | "derived" | "override" | "none"</w:t>
      </w:r>
    </w:p>
    <w:p>
      <w:pPr>
        <w:spacing w:after="0" w:before="0"/>
        <w:shd w:val="clear" w:color="auto" w:fill="F2F2F2"/>
      </w:pPr>
      <w:r>
        <w:rPr>
          <w:rFonts w:ascii="Courier New" w:hAnsi="Courier New"/>
          <w:sz w:val="17"/>
        </w:rPr>
        <w:t>ideal_output        ideal output for the period (ideal rate × actual hours)</w:t>
      </w:r>
    </w:p>
    <w:p>
      <w:pPr>
        <w:spacing w:after="0" w:before="0"/>
        <w:shd w:val="clear" w:color="auto" w:fill="F2F2F2"/>
      </w:pPr>
      <w:r>
        <w:rPr>
          <w:rFonts w:ascii="Courier New" w:hAnsi="Courier New"/>
          <w:sz w:val="17"/>
        </w:rPr>
        <w:t>ideal_month_hours   Report-5 col M: full-month machine hours (M/C Eff denominator only)</w:t>
      </w:r>
    </w:p>
    <w:p>
      <w:pPr>
        <w:spacing w:after="0" w:before="0"/>
        <w:shd w:val="clear" w:color="auto" w:fill="F2F2F2"/>
      </w:pPr>
      <w:r>
        <w:rPr>
          <w:rFonts w:ascii="Courier New" w:hAnsi="Courier New"/>
          <w:sz w:val="17"/>
        </w:rPr>
        <w:t>runhours_tracked    False for TANK (output-only, utilisation always suppressed)</w:t>
      </w:r>
    </w:p>
    <w:p>
      <w:pPr>
        <w:spacing w:after="0" w:before="0"/>
        <w:shd w:val="clear" w:color="auto" w:fill="F2F2F2"/>
      </w:pPr>
      <w:r>
        <w:rPr>
          <w:rFonts w:ascii="Courier New" w:hAnsi="Courier New"/>
          <w:sz w:val="17"/>
        </w:rPr>
        <w:t>secondary_counts    dict of alt-unit production (Tank: pcs, kg, rej_pcs, rej_ltr)</w:t>
      </w:r>
    </w:p>
    <w:p>
      <w:pPr>
        <w:spacing w:after="0" w:before="0"/>
        <w:shd w:val="clear" w:color="auto" w:fill="F2F2F2"/>
      </w:pPr>
      <w:r>
        <w:rPr>
          <w:rFonts w:ascii="Courier New" w:hAnsi="Courier New"/>
          <w:sz w:val="17"/>
        </w:rPr>
        <w:t>has_oee             True only for OEE-capable daily shift-log rows</w:t>
      </w:r>
    </w:p>
    <w:p>
      <w:pPr>
        <w:spacing w:after="0" w:before="0"/>
        <w:shd w:val="clear" w:color="auto" w:fill="F2F2F2"/>
      </w:pPr>
      <w:r>
        <w:rPr>
          <w:rFonts w:ascii="Courier New" w:hAnsi="Courier New"/>
          <w:sz w:val="17"/>
        </w:rPr>
        <w:t>is_finishing        True for PTMT Grinders (regrind excluded from mixed rollup)</w:t>
      </w:r>
    </w:p>
    <w:p>
      <w:pPr>
        <w:spacing w:after="0" w:before="0"/>
        <w:shd w:val="clear" w:color="auto" w:fill="F2F2F2"/>
      </w:pPr>
      <w:r>
        <w:rPr>
          <w:rFonts w:ascii="Courier New" w:hAnsi="Courier New"/>
          <w:sz w:val="17"/>
        </w:rPr>
        <w:t>tonnage_band        "150"…"450" for GOM machines</w:t>
      </w:r>
    </w:p>
    <w:p>
      <w:pPr>
        <w:spacing w:after="0" w:before="0"/>
        <w:shd w:val="clear" w:color="auto" w:fill="F2F2F2"/>
      </w:pPr>
      <w:r>
        <w:rPr>
          <w:rFonts w:ascii="Courier New" w:hAnsi="Courier New"/>
          <w:sz w:val="17"/>
        </w:rPr>
        <w:t>source_family       e.g. "pipe", "tank"</w:t>
      </w:r>
    </w:p>
    <w:p>
      <w:pPr>
        <w:spacing w:after="0" w:before="0"/>
        <w:shd w:val="clear" w:color="auto" w:fill="F2F2F2"/>
      </w:pPr>
      <w:r>
        <w:rPr>
          <w:rFonts w:ascii="Courier New" w:hAnsi="Courier New"/>
          <w:sz w:val="17"/>
        </w:rPr>
        <w:t>source_file         Google Sheet file ID</w:t>
      </w:r>
    </w:p>
    <w:p>
      <w:pPr>
        <w:spacing w:after="0" w:before="0"/>
        <w:shd w:val="clear" w:color="auto" w:fill="F2F2F2"/>
      </w:pPr>
      <w:r>
        <w:rPr>
          <w:rFonts w:ascii="Courier New" w:hAnsi="Courier New"/>
          <w:sz w:val="17"/>
        </w:rPr>
        <w:t>source_tab          tab name</w:t>
      </w:r>
    </w:p>
    <w:p/>
    <w:p>
      <w:pPr>
        <w:pStyle w:val="Heading2"/>
        <w:spacing w:before="240" w:after="80"/>
      </w:pPr>
      <w:r>
        <w:t>What _emit_daily does</w:t>
      </w:r>
    </w:p>
    <w:p>
      <w:pPr>
        <w:spacing w:after="80"/>
      </w:pPr>
      <w:r>
        <w:t>sheets._emit_daily (called from _load_daily for each plant-month) is the dispatch function that:</w:t>
      </w:r>
    </w:p>
    <w:p>
      <w:pPr>
        <w:pStyle w:val="ListBullet"/>
        <w:spacing w:after="40"/>
        <w:ind w:left="360"/>
      </w:pPr>
      <w:r>
        <w:t>Looks up the plant's layout spec from _DAILY_LAYOUTS[plant].</w:t>
      </w:r>
    </w:p>
    <w:p>
      <w:pPr>
        <w:pStyle w:val="ListBullet"/>
        <w:spacing w:after="40"/>
        <w:ind w:left="360"/>
      </w:pPr>
      <w:r>
        <w:t>Fetches raw cell values from the Sheets API via sheets._batch_get (a bounded range fetch, not a full-sheet dump).</w:t>
      </w:r>
    </w:p>
    <w:p>
      <w:pPr>
        <w:pStyle w:val="ListBullet"/>
        <w:spacing w:after="40"/>
        <w:ind w:left="360"/>
      </w:pPr>
      <w:r>
        <w:t>Routes to the appropriate per-plant emitter: _emit_pipe, _emit_tank, _emit_blocks (GARDEN/HDPE), _emit_ptmt, etc.</w:t>
      </w:r>
    </w:p>
    <w:p>
      <w:pPr>
        <w:pStyle w:val="ListBullet"/>
        <w:spacing w:after="40"/>
        <w:ind w:left="360"/>
      </w:pPr>
      <w:r>
        <w:t>Each emitter calls the appropriate parser and stamps source_family, source_file, source_tab provenance on every emitted Record.</w:t>
      </w:r>
    </w:p>
    <w:p>
      <w:pPr>
        <w:pStyle w:val="ListBullet"/>
        <w:spacing w:after="40"/>
        <w:ind w:left="360"/>
      </w:pPr>
      <w:r>
        <w:t>Returns (records, source_report_dict). The source report dict feeds the /sources page and the reconciliation badge.</w:t>
      </w:r>
    </w:p>
    <w:p>
      <w:pPr>
        <w:pStyle w:val="Heading2"/>
        <w:spacing w:before="240" w:after="80"/>
      </w:pPr>
      <w:r>
        <w:t>Caching (three tiers)</w:t>
      </w:r>
    </w:p>
    <w:p>
      <w:pPr>
        <w:pStyle w:val="ListBullet"/>
        <w:spacing w:after="40"/>
        <w:ind w:left="360"/>
      </w:pPr>
      <w:r>
        <w:t>L1: in-process Python dict keyed by (file_id, tab, range). TTL ~15 min. Per-worker — gunicorn workers do not share L1.</w:t>
      </w:r>
    </w:p>
    <w:p>
      <w:pPr>
        <w:pStyle w:val="ListBullet"/>
        <w:spacing w:after="40"/>
        <w:ind w:left="360"/>
      </w:pPr>
      <w:r>
        <w:t>L2: Postgres sheet_cache table (pickled Records). Shared across workers. Read by store.pg_cache_get(), written by store.pg_cache_set(). clear_caches() must call store.pg_cache_clear() or a force-refresh is inconsistent across workers.</w:t>
      </w:r>
    </w:p>
    <w:p>
      <w:pPr>
        <w:pStyle w:val="ListBullet"/>
        <w:spacing w:after="40"/>
        <w:ind w:left="360"/>
      </w:pPr>
      <w:r>
        <w:t>L3: Google Sheets API — the authoritative source, hit only on L1+L2 miss.</w:t>
      </w:r>
    </w:p>
    <w:p>
      <w:pPr>
        <w:spacing w:after="80"/>
      </w:pPr>
      <w:r>
        <w:t>When a new field is added to Record, stale pickles in L2 will lack the field. Fix: call store.pg_cache_clear() after deploying the change.</w:t>
      </w:r>
    </w:p>
    <w:p>
      <w:pPr>
        <w:pStyle w:val="Heading2"/>
        <w:spacing w:before="240" w:after="80"/>
      </w:pPr>
      <w:r>
        <w:t>Postgres tables (all in store.py, all append-only)</w:t>
      </w:r>
    </w:p>
    <w:p>
      <w:pPr>
        <w:spacing w:after="80"/>
      </w:pPr>
      <w:r>
        <w:t>Every table is created lazily via CREATE TABLE IF NOT EXISTS in store.init(). The effective state for any key is always the most recent row.</w:t>
      </w:r>
    </w:p>
    <w:tbl>
      <w:tblPr>
        <w:tblStyle w:val="TableGrid"/>
        <w:tblW w:type="auto" w:w="0"/>
        <w:tblLook w:firstColumn="1" w:firstRow="1" w:lastColumn="0" w:lastRow="0" w:noHBand="0" w:noVBand="1" w:val="04A0"/>
      </w:tblPr>
      <w:tblGrid>
        <w:gridCol w:w="4536"/>
        <w:gridCol w:w="4536"/>
      </w:tblGrid>
      <w:tr>
        <w:tc>
          <w:tcPr>
            <w:tcW w:type="dxa" w:w="3168"/>
            <w:shd w:val="clear" w:color="auto" w:fill="1F3864"/>
          </w:tcPr>
          <w:p>
            <w:r>
              <w:rPr>
                <w:b/>
                <w:color w:val="FFFFFF"/>
                <w:sz w:val="18"/>
              </w:rPr>
              <w:t>Table</w:t>
            </w:r>
          </w:p>
        </w:tc>
        <w:tc>
          <w:tcPr>
            <w:tcW w:type="dxa" w:w="5904"/>
            <w:shd w:val="clear" w:color="auto" w:fill="1F3864"/>
          </w:tcPr>
          <w:p>
            <w:r>
              <w:rPr>
                <w:b/>
                <w:color w:val="FFFFFF"/>
                <w:sz w:val="18"/>
              </w:rPr>
              <w:t>Purpose</w:t>
            </w:r>
          </w:p>
        </w:tc>
      </w:tr>
      <w:tr>
        <w:tc>
          <w:tcPr>
            <w:tcW w:type="dxa" w:w="3168"/>
            <w:shd w:val="clear" w:color="auto" w:fill="FFFFFF"/>
          </w:tcPr>
          <w:p>
            <w:r>
              <w:rPr>
                <w:sz w:val="18"/>
              </w:rPr>
              <w:t>confirmation_signoffs</w:t>
            </w:r>
          </w:p>
        </w:tc>
        <w:tc>
          <w:tcPr>
            <w:tcW w:type="dxa" w:w="5904"/>
            <w:shd w:val="clear" w:color="auto" w:fill="FFFFFF"/>
          </w:tcPr>
          <w:p>
            <w:r>
              <w:rPr>
                <w:sz w:val="18"/>
              </w:rPr>
              <w:t>Manager approve/revoke events with fingerprint, approver, period key</w:t>
            </w:r>
          </w:p>
        </w:tc>
      </w:tr>
      <w:tr>
        <w:tc>
          <w:tcPr>
            <w:tcW w:type="dxa" w:w="3168"/>
            <w:shd w:val="clear" w:color="auto" w:fill="EEF2F7"/>
          </w:tcPr>
          <w:p>
            <w:r>
              <w:rPr>
                <w:sz w:val="18"/>
              </w:rPr>
              <w:t>confirmation_issue_acks</w:t>
            </w:r>
          </w:p>
        </w:tc>
        <w:tc>
          <w:tcPr>
            <w:tcW w:type="dxa" w:w="5904"/>
            <w:shd w:val="clear" w:color="auto" w:fill="EEF2F7"/>
          </w:tcPr>
          <w:p>
            <w:r>
              <w:rPr>
                <w:sz w:val="18"/>
              </w:rPr>
              <w:t>Per-issue "Reviewed" acks (stable key — survives data drift)</w:t>
            </w:r>
          </w:p>
        </w:tc>
      </w:tr>
      <w:tr>
        <w:tc>
          <w:tcPr>
            <w:tcW w:type="dxa" w:w="3168"/>
            <w:shd w:val="clear" w:color="auto" w:fill="FFFFFF"/>
          </w:tcPr>
          <w:p>
            <w:r>
              <w:rPr>
                <w:sz w:val="18"/>
              </w:rPr>
              <w:t>stale_rollup_acks</w:t>
            </w:r>
          </w:p>
        </w:tc>
        <w:tc>
          <w:tcPr>
            <w:tcW w:type="dxa" w:w="5904"/>
            <w:shd w:val="clear" w:color="auto" w:fill="FFFFFF"/>
          </w:tcPr>
          <w:p>
            <w:r>
              <w:rPr>
                <w:sz w:val="18"/>
              </w:rPr>
              <w:t>Stale-rollup alert acks (key + fingerprint — re-surfaces on data change)</w:t>
            </w:r>
          </w:p>
        </w:tc>
      </w:tr>
      <w:tr>
        <w:tc>
          <w:tcPr>
            <w:tcW w:type="dxa" w:w="3168"/>
            <w:shd w:val="clear" w:color="auto" w:fill="EEF2F7"/>
          </w:tcPr>
          <w:p>
            <w:r>
              <w:rPr>
                <w:sz w:val="18"/>
              </w:rPr>
              <w:t>ideal_hours_overrides</w:t>
            </w:r>
          </w:p>
        </w:tc>
        <w:tc>
          <w:tcPr>
            <w:tcW w:type="dxa" w:w="5904"/>
            <w:shd w:val="clear" w:color="auto" w:fill="EEF2F7"/>
          </w:tcPr>
          <w:p>
            <w:r>
              <w:rPr>
                <w:sz w:val="18"/>
              </w:rPr>
              <w:t>Manager-supplied monthly ideal hours per (plant, machine, month)</w:t>
            </w:r>
          </w:p>
        </w:tc>
      </w:tr>
      <w:tr>
        <w:tc>
          <w:tcPr>
            <w:tcW w:type="dxa" w:w="3168"/>
            <w:shd w:val="clear" w:color="auto" w:fill="FFFFFF"/>
          </w:tcPr>
          <w:p>
            <w:r>
              <w:rPr>
                <w:sz w:val="18"/>
              </w:rPr>
              <w:t>sheet_cache</w:t>
            </w:r>
          </w:p>
        </w:tc>
        <w:tc>
          <w:tcPr>
            <w:tcW w:type="dxa" w:w="5904"/>
            <w:shd w:val="clear" w:color="auto" w:fill="FFFFFF"/>
          </w:tcPr>
          <w:p>
            <w:r>
              <w:rPr>
                <w:sz w:val="18"/>
              </w:rPr>
              <w:t>Pickled Records from L2 (shared across gunicorn workers)</w:t>
            </w:r>
          </w:p>
        </w:tc>
      </w:tr>
      <w:tr>
        <w:tc>
          <w:tcPr>
            <w:tcW w:type="dxa" w:w="3168"/>
            <w:shd w:val="clear" w:color="auto" w:fill="EEF2F7"/>
          </w:tcPr>
          <w:p>
            <w:r>
              <w:rPr>
                <w:sz w:val="18"/>
              </w:rPr>
              <w:t>source_fingerprints</w:t>
            </w:r>
          </w:p>
        </w:tc>
        <w:tc>
          <w:tcPr>
            <w:tcW w:type="dxa" w:w="5904"/>
            <w:shd w:val="clear" w:color="auto" w:fill="EEF2F7"/>
          </w:tcPr>
          <w:p>
            <w:r>
              <w:rPr>
                <w:sz w:val="18"/>
              </w:rPr>
              <w:t>Content-hash fingerprints per workbook (change tracking)</w:t>
            </w:r>
          </w:p>
        </w:tc>
      </w:tr>
      <w:tr>
        <w:tc>
          <w:tcPr>
            <w:tcW w:type="dxa" w:w="3168"/>
            <w:shd w:val="clear" w:color="auto" w:fill="FFFFFF"/>
          </w:tcPr>
          <w:p>
            <w:r>
              <w:rPr>
                <w:sz w:val="18"/>
              </w:rPr>
              <w:t>verify_log</w:t>
            </w:r>
          </w:p>
        </w:tc>
        <w:tc>
          <w:tcPr>
            <w:tcW w:type="dxa" w:w="5904"/>
            <w:shd w:val="clear" w:color="auto" w:fill="FFFFFF"/>
          </w:tcPr>
          <w:p>
            <w:r>
              <w:rPr>
                <w:sz w:val="18"/>
              </w:rPr>
              <w:t>Append-only verification-run audit trail</w:t>
            </w:r>
          </w:p>
        </w:tc>
      </w:tr>
      <w:tr>
        <w:tc>
          <w:tcPr>
            <w:tcW w:type="dxa" w:w="3168"/>
            <w:shd w:val="clear" w:color="auto" w:fill="EEF2F7"/>
          </w:tcPr>
          <w:p>
            <w:r>
              <w:rPr>
                <w:sz w:val="18"/>
              </w:rPr>
              <w:t>manifest_log</w:t>
            </w:r>
          </w:p>
        </w:tc>
        <w:tc>
          <w:tcPr>
            <w:tcW w:type="dxa" w:w="5904"/>
            <w:shd w:val="clear" w:color="auto" w:fill="EEF2F7"/>
          </w:tcPr>
          <w:p>
            <w:r>
              <w:rPr>
                <w:sz w:val="18"/>
              </w:rPr>
              <w:t>Ingestion manifest run history</w:t>
            </w:r>
          </w:p>
        </w:tc>
      </w:tr>
      <w:tr>
        <w:tc>
          <w:tcPr>
            <w:tcW w:type="dxa" w:w="3168"/>
            <w:shd w:val="clear" w:color="auto" w:fill="FFFFFF"/>
          </w:tcPr>
          <w:p>
            <w:r>
              <w:rPr>
                <w:sz w:val="18"/>
              </w:rPr>
              <w:t>index_baselines</w:t>
            </w:r>
          </w:p>
        </w:tc>
        <w:tc>
          <w:tcPr>
            <w:tcW w:type="dxa" w:w="5904"/>
            <w:shd w:val="clear" w:color="auto" w:fill="FFFFFF"/>
          </w:tcPr>
          <w:p>
            <w:r>
              <w:rPr>
                <w:sz w:val="18"/>
              </w:rPr>
              <w:t>Per-workbook Index tab baseline (detects description/frequency changes)</w:t>
            </w:r>
          </w:p>
        </w:tc>
      </w:tr>
      <w:tr>
        <w:tc>
          <w:tcPr>
            <w:tcW w:type="dxa" w:w="3168"/>
            <w:shd w:val="clear" w:color="auto" w:fill="EEF2F7"/>
          </w:tcPr>
          <w:p>
            <w:r>
              <w:rPr>
                <w:sz w:val="18"/>
              </w:rPr>
              <w:t>api_keys</w:t>
            </w:r>
          </w:p>
        </w:tc>
        <w:tc>
          <w:tcPr>
            <w:tcW w:type="dxa" w:w="5904"/>
            <w:shd w:val="clear" w:color="auto" w:fill="EEF2F7"/>
          </w:tcPr>
          <w:p>
            <w:r>
              <w:rPr>
                <w:sz w:val="18"/>
              </w:rPr>
              <w:t>API key storage (checked first, then falls back to PRAYAG_API_KEY env var)</w:t>
            </w:r>
          </w:p>
        </w:tc>
      </w:tr>
    </w:tbl>
    <w:p/>
    <w:p>
      <w:pPr>
        <w:spacing w:after="80"/>
      </w:pPr>
      <w:r>
        <w:t>The Node/Drizzle side of the monorepo is scoped to the app schema; Prayag owns public via psycopg2. The two sides never touch each other's tables.</w:t>
      </w:r>
    </w:p>
    <w:p>
      <w:pPr>
        <w:pStyle w:val="Heading1"/>
        <w:spacing w:before="360" w:after="120"/>
      </w:pPr>
      <w:r>
        <w:t>5. Metrics &amp; Formulas</w:t>
      </w:r>
    </w:p>
    <w:p>
      <w:pPr>
        <w:spacing w:after="80"/>
      </w:pPr>
      <w:r>
        <w:t>All arithmetic is in metrics.compute_metrics(rows: List[Record]) -&gt; MetricsResult. Pure Python, no AI, no stored ratios trusted.</w:t>
      </w:r>
    </w:p>
    <w:p>
      <w:pPr>
        <w:pStyle w:val="Heading2"/>
        <w:spacing w:before="240" w:after="80"/>
      </w:pPr>
      <w:r>
        <w:t>Availability (OEE component — daily shift-log rows with has_oee=True only)</w:t>
      </w:r>
    </w:p>
    <w:p>
      <w:pPr>
        <w:spacing w:after="0" w:before="0"/>
        <w:shd w:val="clear" w:color="auto" w:fill="F2F2F2"/>
      </w:pPr>
      <w:r>
        <w:rPr>
          <w:rFonts w:ascii="Courier New" w:hAnsi="Courier New"/>
          <w:sz w:val="17"/>
        </w:rPr>
        <w:t>PPT  = shift_len_min - planned_stops_min</w:t>
      </w:r>
    </w:p>
    <w:p>
      <w:pPr>
        <w:spacing w:after="0" w:before="0"/>
        <w:shd w:val="clear" w:color="auto" w:fill="F2F2F2"/>
      </w:pPr>
      <w:r>
        <w:rPr>
          <w:rFonts w:ascii="Courier New" w:hAnsi="Courier New"/>
          <w:sz w:val="17"/>
        </w:rPr>
        <w:t>Run  = max(PPT - downtime_min, 0)</w:t>
      </w:r>
    </w:p>
    <w:p>
      <w:pPr>
        <w:spacing w:after="0" w:before="0"/>
        <w:shd w:val="clear" w:color="auto" w:fill="F2F2F2"/>
      </w:pPr>
      <w:r>
        <w:rPr>
          <w:rFonts w:ascii="Courier New" w:hAnsi="Courier New"/>
          <w:sz w:val="17"/>
        </w:rPr>
        <w:t>Availability = Run / PPT</w:t>
      </w:r>
    </w:p>
    <w:p/>
    <w:p>
      <w:pPr>
        <w:pStyle w:val="Heading2"/>
        <w:spacing w:before="240" w:after="80"/>
      </w:pPr>
      <w:r>
        <w:t>Performance (OEE component)</w:t>
      </w:r>
    </w:p>
    <w:p>
      <w:pPr>
        <w:spacing w:after="0" w:before="0"/>
        <w:shd w:val="clear" w:color="auto" w:fill="F2F2F2"/>
      </w:pPr>
      <w:r>
        <w:rPr>
          <w:rFonts w:ascii="Courier New" w:hAnsi="Courier New"/>
          <w:sz w:val="17"/>
        </w:rPr>
        <w:t>ideal_theoretical = Σ (row_run_min × ideal_rate) / 60   # kg or pcs at ideal rate</w:t>
      </w:r>
    </w:p>
    <w:p>
      <w:pPr>
        <w:spacing w:after="0" w:before="0"/>
        <w:shd w:val="clear" w:color="auto" w:fill="F2F2F2"/>
      </w:pPr>
      <w:r>
        <w:rPr>
          <w:rFonts w:ascii="Courier New" w:hAnsi="Courier New"/>
          <w:sz w:val="17"/>
        </w:rPr>
        <w:t>Performance_raw  = actual_total_output / ideal_theoretical</w:t>
      </w:r>
    </w:p>
    <w:p>
      <w:pPr>
        <w:spacing w:after="0" w:before="0"/>
        <w:shd w:val="clear" w:color="auto" w:fill="F2F2F2"/>
      </w:pPr>
      <w:r>
        <w:rPr>
          <w:rFonts w:ascii="Courier New" w:hAnsi="Courier New"/>
          <w:sz w:val="17"/>
        </w:rPr>
        <w:t>Performance      = min(Performance_raw, 1.0)             # clamped for OEE; raw kept for validity</w:t>
      </w:r>
    </w:p>
    <w:p/>
    <w:p>
      <w:pPr>
        <w:pStyle w:val="Heading2"/>
        <w:spacing w:before="240" w:after="80"/>
      </w:pPr>
      <w:r>
        <w:t>Quality (OEE component)</w:t>
      </w:r>
    </w:p>
    <w:p>
      <w:pPr>
        <w:spacing w:after="0" w:before="0"/>
        <w:shd w:val="clear" w:color="auto" w:fill="F2F2F2"/>
      </w:pPr>
      <w:r>
        <w:rPr>
          <w:rFonts w:ascii="Courier New" w:hAnsi="Courier New"/>
          <w:sz w:val="17"/>
        </w:rPr>
        <w:t>Quality = (total_output - reject_count) / total_output</w:t>
      </w:r>
    </w:p>
    <w:p/>
    <w:p>
      <w:pPr>
        <w:pStyle w:val="Heading2"/>
        <w:spacing w:before="240" w:after="80"/>
      </w:pPr>
      <w:r>
        <w:t>OEE</w:t>
      </w:r>
    </w:p>
    <w:p>
      <w:pPr>
        <w:spacing w:after="0" w:before="0"/>
        <w:shd w:val="clear" w:color="auto" w:fill="F2F2F2"/>
      </w:pPr>
      <w:r>
        <w:rPr>
          <w:rFonts w:ascii="Courier New" w:hAnsi="Courier New"/>
          <w:sz w:val="17"/>
        </w:rPr>
        <w:t>OEE = Availability × Performance × Quality</w:t>
      </w:r>
    </w:p>
    <w:p/>
    <w:p>
      <w:pPr>
        <w:spacing w:after="80"/>
      </w:pPr>
      <w:r>
        <w:t>OEE is produced only when OEE-capable daily rows exist (has_oee=True). Monthly-grain data produces Utilisation + Output Efficiency instead.</w:t>
      </w:r>
    </w:p>
    <w:p>
      <w:pPr>
        <w:pStyle w:val="Heading2"/>
        <w:spacing w:before="240" w:after="80"/>
      </w:pPr>
      <w:r>
        <w:t>Utilisation (monthly grain)</w:t>
      </w:r>
    </w:p>
    <w:p>
      <w:pPr>
        <w:spacing w:after="0" w:before="0"/>
        <w:shd w:val="clear" w:color="auto" w:fill="F2F2F2"/>
      </w:pPr>
      <w:r>
        <w:rPr>
          <w:rFonts w:ascii="Courier New" w:hAnsi="Courier New"/>
          <w:sz w:val="17"/>
        </w:rPr>
        <w:t>Utilisation = Σ actual_hours / Σ ideal_hours</w:t>
      </w:r>
    </w:p>
    <w:p/>
    <w:p>
      <w:pPr>
        <w:spacing w:after="80"/>
      </w:pPr>
      <w:r>
        <w:t>Only hours from rows with runhours_tracked=True AND ideal_hours &gt; 0 enter either sum. Output-only plants (TANK) have runhours_tracked=False on every Record, so their rows never touch this ratio.</w:t>
      </w:r>
    </w:p>
    <w:p>
      <w:pPr>
        <w:pStyle w:val="Heading2"/>
        <w:spacing w:before="240" w:after="80"/>
      </w:pPr>
      <w:r>
        <w:t>Output Efficiency (monthly grain)</w:t>
      </w:r>
    </w:p>
    <w:p>
      <w:pPr>
        <w:spacing w:after="0" w:before="0"/>
        <w:shd w:val="clear" w:color="auto" w:fill="F2F2F2"/>
      </w:pPr>
      <w:r>
        <w:rPr>
          <w:rFonts w:ascii="Courier New" w:hAnsi="Courier New"/>
          <w:sz w:val="17"/>
        </w:rPr>
        <w:t>Output Efficiency = actual_output / ideal_output</w:t>
      </w:r>
    </w:p>
    <w:p>
      <w:pPr>
        <w:spacing w:after="0" w:before="0"/>
        <w:shd w:val="clear" w:color="auto" w:fill="F2F2F2"/>
      </w:pPr>
      <w:r>
        <w:rPr>
          <w:rFonts w:ascii="Courier New" w:hAnsi="Courier New"/>
          <w:sz w:val="17"/>
        </w:rPr>
        <w:t>ideal_output      = ideal_rate_per_hour × actual_hours   # from in-sheet rate column</w:t>
      </w:r>
    </w:p>
    <w:p/>
    <w:p>
      <w:pPr>
        <w:spacing w:after="80"/>
      </w:pPr>
      <w:r>
        <w:t>Available for HDPE (publishes ideal rate), PIPE (derived from Report-5 baselines). Not available for PTMT (no ideal output rate) or MOULDING (no rate).</w:t>
      </w:r>
    </w:p>
    <w:p>
      <w:pPr>
        <w:pStyle w:val="Heading2"/>
        <w:spacing w:before="240" w:after="80"/>
      </w:pPr>
      <w:r>
        <w:t>M/C Efficiency (PIPE, Report-5 col M)</w:t>
      </w:r>
    </w:p>
    <w:p>
      <w:pPr>
        <w:spacing w:after="0" w:before="0"/>
        <w:shd w:val="clear" w:color="auto" w:fill="F2F2F2"/>
      </w:pPr>
      <w:r>
        <w:rPr>
          <w:rFonts w:ascii="Courier New" w:hAnsi="Courier New"/>
          <w:sz w:val="17"/>
        </w:rPr>
        <w:t>M/C Efficiency = Σ actual_run_hours / Σ ideal_month_hours</w:t>
      </w:r>
    </w:p>
    <w:p>
      <w:pPr>
        <w:spacing w:after="0" w:before="0"/>
        <w:shd w:val="clear" w:color="auto" w:fill="F2F2F2"/>
      </w:pPr>
      <w:r>
        <w:rPr>
          <w:rFonts w:ascii="Courier New" w:hAnsi="Courier New"/>
          <w:sz w:val="17"/>
        </w:rPr>
        <w:t># ideal_month_hours = Report-5 col M (500 h/machine/month for PIPE/MOULDING, 300 for grinders)</w:t>
      </w:r>
    </w:p>
    <w:p/>
    <w:p>
      <w:pPr>
        <w:spacing w:after="80"/>
      </w:pPr>
      <w:r>
        <w:t>NOT capped at 100% — exceeding ideal is valid and shown in purple in the UI.</w:t>
      </w:r>
    </w:p>
    <w:p>
      <w:pPr>
        <w:pStyle w:val="Heading2"/>
        <w:spacing w:before="240" w:after="80"/>
      </w:pPr>
      <w:r>
        <w:t>Rejection %</w:t>
      </w:r>
    </w:p>
    <w:p>
      <w:pPr>
        <w:spacing w:after="0" w:before="0"/>
        <w:shd w:val="clear" w:color="auto" w:fill="F2F2F2"/>
      </w:pPr>
      <w:r>
        <w:rPr>
          <w:rFonts w:ascii="Courier New" w:hAnsi="Courier New"/>
          <w:sz w:val="17"/>
        </w:rPr>
        <w:t># Standard (all plants except TANK):</w:t>
      </w:r>
    </w:p>
    <w:p>
      <w:pPr>
        <w:spacing w:after="0" w:before="0"/>
        <w:shd w:val="clear" w:color="auto" w:fill="F2F2F2"/>
      </w:pPr>
      <w:r>
        <w:rPr>
          <w:rFonts w:ascii="Courier New" w:hAnsi="Courier New"/>
          <w:sz w:val="17"/>
        </w:rPr>
        <w:t>Rejection % = reject_count / total_count</w:t>
      </w:r>
    </w:p>
    <w:p>
      <w:pPr>
        <w:spacing w:after="0" w:before="0"/>
        <w:shd w:val="clear" w:color="auto" w:fill="F2F2F2"/>
      </w:pPr>
      <w:r>
        <w:rPr>
          <w:rFonts w:ascii="Courier New" w:hAnsi="Courier New"/>
          <w:sz w:val="17"/>
        </w:rPr>
        <w:t xml:space="preserve"> </w:t>
      </w:r>
    </w:p>
    <w:p>
      <w:pPr>
        <w:spacing w:after="0" w:before="0"/>
        <w:shd w:val="clear" w:color="auto" w:fill="F2F2F2"/>
      </w:pPr>
      <w:r>
        <w:rPr>
          <w:rFonts w:ascii="Courier New" w:hAnsi="Courier New"/>
          <w:sz w:val="17"/>
        </w:rPr>
        <w:t># TANK (reject_unit="kg", reject_denominator=prod_kg):</w:t>
      </w:r>
    </w:p>
    <w:p>
      <w:pPr>
        <w:spacing w:after="0" w:before="0"/>
        <w:shd w:val="clear" w:color="auto" w:fill="F2F2F2"/>
      </w:pPr>
      <w:r>
        <w:rPr>
          <w:rFonts w:ascii="Courier New" w:hAnsi="Courier New"/>
          <w:sz w:val="17"/>
        </w:rPr>
        <w:t>Rejection % = reject_count_kg / prod_kg</w:t>
      </w:r>
    </w:p>
    <w:p/>
    <w:p>
      <w:pPr>
        <w:spacing w:after="80"/>
      </w:pPr>
      <w:r>
        <w:t>compute_metrics accumulates _reject_denom_sum from Record.reject_denominator. When that sum is &gt; 0 (Tank records), it is used as the rejection % denominator instead of total_count.</w:t>
      </w:r>
    </w:p>
    <w:p>
      <w:pPr>
        <w:pStyle w:val="Heading2"/>
        <w:spacing w:before="240" w:after="80"/>
      </w:pPr>
      <w:r>
        <w:t>Other metrics</w:t>
      </w:r>
    </w:p>
    <w:p>
      <w:pPr>
        <w:spacing w:after="0" w:before="0"/>
        <w:shd w:val="clear" w:color="auto" w:fill="F2F2F2"/>
      </w:pPr>
      <w:r>
        <w:rPr>
          <w:rFonts w:ascii="Courier New" w:hAnsi="Courier New"/>
          <w:sz w:val="17"/>
        </w:rPr>
        <w:t>Attainment = actual_output / planned_output</w:t>
      </w:r>
    </w:p>
    <w:p>
      <w:pPr>
        <w:spacing w:after="0" w:before="0"/>
        <w:shd w:val="clear" w:color="auto" w:fill="F2F2F2"/>
      </w:pPr>
      <w:r>
        <w:rPr>
          <w:rFonts w:ascii="Courier New" w:hAnsi="Courier New"/>
          <w:sz w:val="17"/>
        </w:rPr>
        <w:t>Runner %   = runner_lumps / total_count</w:t>
      </w:r>
    </w:p>
    <w:p/>
    <w:p>
      <w:pPr>
        <w:pStyle w:val="Heading2"/>
        <w:spacing w:before="240" w:after="80"/>
      </w:pPr>
      <w:r>
        <w:t>Headline KPI priority</w:t>
      </w:r>
    </w:p>
    <w:p>
      <w:pPr>
        <w:spacing w:after="0" w:before="0"/>
        <w:shd w:val="clear" w:color="auto" w:fill="F2F2F2"/>
      </w:pPr>
      <w:r>
        <w:rPr>
          <w:rFonts w:ascii="Courier New" w:hAnsi="Courier New"/>
          <w:sz w:val="17"/>
        </w:rPr>
        <w:t>OEE (if has_oee rows) → Output Efficiency (if ideal_output &gt; 0) → Utilisation (if ideal_hours &gt; 0) → suppressed</w:t>
      </w:r>
    </w:p>
    <w:p/>
    <w:p>
      <w:pPr>
        <w:spacing w:after="80"/>
      </w:pPr>
      <w:r>
        <w:t>Implemented as MetricsResult.headline property in metrics.py.</w:t>
      </w:r>
    </w:p>
    <w:p>
      <w:pPr>
        <w:pStyle w:val="Heading2"/>
        <w:spacing w:before="240" w:after="80"/>
      </w:pPr>
      <w:r>
        <w:t>Rating bands (glossary.py)</w:t>
      </w:r>
    </w:p>
    <w:p>
      <w:pPr>
        <w:spacing w:after="0" w:before="0"/>
        <w:shd w:val="clear" w:color="auto" w:fill="F2F2F2"/>
      </w:pPr>
      <w:r>
        <w:rPr>
          <w:rFonts w:ascii="Courier New" w:hAnsi="Courier New"/>
          <w:sz w:val="17"/>
        </w:rPr>
        <w:t>Green ≥ 85%  |  Amber ≥ 60%  |  Red &lt; 60%</w:t>
      </w:r>
    </w:p>
    <w:p>
      <w:pPr>
        <w:spacing w:after="0" w:before="0"/>
        <w:shd w:val="clear" w:color="auto" w:fill="F2F2F2"/>
      </w:pPr>
      <w:r>
        <w:rPr>
          <w:rFonts w:ascii="Courier New" w:hAnsi="Courier New"/>
          <w:sz w:val="17"/>
        </w:rPr>
        <w:t>M/C Efficiency &gt; 100% → Purple (overtime / exceeded ideal — valid and expected)</w:t>
      </w:r>
    </w:p>
    <w:p/>
    <w:p>
      <w:pPr>
        <w:pStyle w:val="Heading2"/>
        <w:spacing w:before="240" w:after="80"/>
      </w:pPr>
      <w:r>
        <w:t>Ideal-hours precedence (highest wins) — resolved by ideal_hours.resolve()</w:t>
      </w:r>
    </w:p>
    <w:tbl>
      <w:tblPr>
        <w:tblStyle w:val="TableGrid"/>
        <w:tblW w:type="auto" w:w="0"/>
        <w:tblLook w:firstColumn="1" w:firstRow="1" w:lastColumn="0" w:lastRow="0" w:noHBand="0" w:noVBand="1" w:val="04A0"/>
      </w:tblPr>
      <w:tblGrid>
        <w:gridCol w:w="3024"/>
        <w:gridCol w:w="3024"/>
        <w:gridCol w:w="3024"/>
      </w:tblGrid>
      <w:tr>
        <w:tc>
          <w:tcPr>
            <w:tcW w:type="dxa" w:w="1008"/>
            <w:shd w:val="clear" w:color="auto" w:fill="1F3864"/>
          </w:tcPr>
          <w:p>
            <w:r>
              <w:rPr>
                <w:b/>
                <w:color w:val="FFFFFF"/>
                <w:sz w:val="18"/>
              </w:rPr>
              <w:t>Priority</w:t>
            </w:r>
          </w:p>
        </w:tc>
        <w:tc>
          <w:tcPr>
            <w:tcW w:type="dxa" w:w="2592"/>
            <w:shd w:val="clear" w:color="auto" w:fill="1F3864"/>
          </w:tcPr>
          <w:p>
            <w:r>
              <w:rPr>
                <w:b/>
                <w:color w:val="FFFFFF"/>
                <w:sz w:val="18"/>
              </w:rPr>
              <w:t>Source</w:t>
            </w:r>
          </w:p>
        </w:tc>
        <w:tc>
          <w:tcPr>
            <w:tcW w:type="dxa" w:w="5472"/>
            <w:shd w:val="clear" w:color="auto" w:fill="1F3864"/>
          </w:tcPr>
          <w:p>
            <w:r>
              <w:rPr>
                <w:b/>
                <w:color w:val="FFFFFF"/>
                <w:sz w:val="18"/>
              </w:rPr>
              <w:t>How set</w:t>
            </w:r>
          </w:p>
        </w:tc>
      </w:tr>
      <w:tr>
        <w:tc>
          <w:tcPr>
            <w:tcW w:type="dxa" w:w="1008"/>
            <w:shd w:val="clear" w:color="auto" w:fill="FFFFFF"/>
          </w:tcPr>
          <w:p>
            <w:r>
              <w:rPr>
                <w:sz w:val="18"/>
              </w:rPr>
              <w:t>1 (highest)</w:t>
            </w:r>
          </w:p>
        </w:tc>
        <w:tc>
          <w:tcPr>
            <w:tcW w:type="dxa" w:w="2592"/>
            <w:shd w:val="clear" w:color="auto" w:fill="FFFFFF"/>
          </w:tcPr>
          <w:p>
            <w:r>
              <w:rPr>
                <w:sz w:val="18"/>
              </w:rPr>
              <w:t>Manager OVERRIDE</w:t>
            </w:r>
          </w:p>
        </w:tc>
        <w:tc>
          <w:tcPr>
            <w:tcW w:type="dxa" w:w="5472"/>
            <w:shd w:val="clear" w:color="auto" w:fill="FFFFFF"/>
          </w:tcPr>
          <w:p>
            <w:r>
              <w:rPr>
                <w:sz w:val="18"/>
              </w:rPr>
              <w:t>/input page → store.ideal_hours_overrides (Postgres)</w:t>
            </w:r>
          </w:p>
        </w:tc>
      </w:tr>
      <w:tr>
        <w:tc>
          <w:tcPr>
            <w:tcW w:type="dxa" w:w="1008"/>
            <w:shd w:val="clear" w:color="auto" w:fill="EEF2F7"/>
          </w:tcPr>
          <w:p>
            <w:r>
              <w:rPr>
                <w:sz w:val="18"/>
              </w:rPr>
              <w:t>2</w:t>
            </w:r>
          </w:p>
        </w:tc>
        <w:tc>
          <w:tcPr>
            <w:tcW w:type="dxa" w:w="2592"/>
            <w:shd w:val="clear" w:color="auto" w:fill="EEF2F7"/>
          </w:tcPr>
          <w:p>
            <w:r>
              <w:rPr>
                <w:sz w:val="18"/>
              </w:rPr>
              <w:t>In-sheet ideal-output rate</w:t>
            </w:r>
          </w:p>
        </w:tc>
        <w:tc>
          <w:tcPr>
            <w:tcW w:type="dxa" w:w="5472"/>
            <w:shd w:val="clear" w:color="auto" w:fill="EEF2F7"/>
          </w:tcPr>
          <w:p>
            <w:r>
              <w:rPr>
                <w:sz w:val="18"/>
              </w:rPr>
              <w:t>HDPE: kg/hr × run hours</w:t>
            </w:r>
          </w:p>
        </w:tc>
      </w:tr>
      <w:tr>
        <w:tc>
          <w:tcPr>
            <w:tcW w:type="dxa" w:w="1008"/>
            <w:shd w:val="clear" w:color="auto" w:fill="FFFFFF"/>
          </w:tcPr>
          <w:p>
            <w:r>
              <w:rPr>
                <w:sz w:val="18"/>
              </w:rPr>
              <w:t>3</w:t>
            </w:r>
          </w:p>
        </w:tc>
        <w:tc>
          <w:tcPr>
            <w:tcW w:type="dxa" w:w="2592"/>
            <w:shd w:val="clear" w:color="auto" w:fill="FFFFFF"/>
          </w:tcPr>
          <w:p>
            <w:r>
              <w:rPr>
                <w:sz w:val="18"/>
              </w:rPr>
              <w:t>In-sheet ideal-hours column</w:t>
            </w:r>
          </w:p>
        </w:tc>
        <w:tc>
          <w:tcPr>
            <w:tcW w:type="dxa" w:w="5472"/>
            <w:shd w:val="clear" w:color="auto" w:fill="FFFFFF"/>
          </w:tcPr>
          <w:p>
            <w:r>
              <w:rPr>
                <w:sz w:val="18"/>
              </w:rPr>
              <w:t>PTMT col E: 572 h/machine/month, read live</w:t>
            </w:r>
          </w:p>
        </w:tc>
      </w:tr>
      <w:tr>
        <w:tc>
          <w:tcPr>
            <w:tcW w:type="dxa" w:w="1008"/>
            <w:shd w:val="clear" w:color="auto" w:fill="EEF2F7"/>
          </w:tcPr>
          <w:p>
            <w:r>
              <w:rPr>
                <w:sz w:val="18"/>
              </w:rPr>
              <w:t>4</w:t>
            </w:r>
          </w:p>
        </w:tc>
        <w:tc>
          <w:tcPr>
            <w:tcW w:type="dxa" w:w="2592"/>
            <w:shd w:val="clear" w:color="auto" w:fill="EEF2F7"/>
          </w:tcPr>
          <w:p>
            <w:r>
              <w:rPr>
                <w:sz w:val="18"/>
              </w:rPr>
              <w:t>Derived from Report-5</w:t>
            </w:r>
          </w:p>
        </w:tc>
        <w:tc>
          <w:tcPr>
            <w:tcW w:type="dxa" w:w="5472"/>
            <w:shd w:val="clear" w:color="auto" w:fill="EEF2F7"/>
          </w:tcPr>
          <w:p>
            <w:r>
              <w:rPr>
                <w:sz w:val="18"/>
              </w:rPr>
              <w:t>PIPE: col M ideal hours / run days</w:t>
            </w:r>
          </w:p>
        </w:tc>
      </w:tr>
      <w:tr>
        <w:tc>
          <w:tcPr>
            <w:tcW w:type="dxa" w:w="1008"/>
            <w:shd w:val="clear" w:color="auto" w:fill="FFFFFF"/>
          </w:tcPr>
          <w:p>
            <w:r>
              <w:rPr>
                <w:sz w:val="18"/>
              </w:rPr>
              <w:t>5</w:t>
            </w:r>
          </w:p>
        </w:tc>
        <w:tc>
          <w:tcPr>
            <w:tcW w:type="dxa" w:w="2592"/>
            <w:shd w:val="clear" w:color="auto" w:fill="FFFFFF"/>
          </w:tcPr>
          <w:p>
            <w:r>
              <w:rPr>
                <w:sz w:val="18"/>
              </w:rPr>
              <w:t>baselines.json config</w:t>
            </w:r>
          </w:p>
        </w:tc>
        <w:tc>
          <w:tcPr>
            <w:tcW w:type="dxa" w:w="5472"/>
            <w:shd w:val="clear" w:color="auto" w:fill="FFFFFF"/>
          </w:tcPr>
          <w:p>
            <w:r>
              <w:rPr>
                <w:sz w:val="18"/>
              </w:rPr>
              <w:t>Per-machine entry in the config file</w:t>
            </w:r>
          </w:p>
        </w:tc>
      </w:tr>
      <w:tr>
        <w:tc>
          <w:tcPr>
            <w:tcW w:type="dxa" w:w="1008"/>
            <w:shd w:val="clear" w:color="auto" w:fill="EEF2F7"/>
          </w:tcPr>
          <w:p>
            <w:r>
              <w:rPr>
                <w:sz w:val="18"/>
              </w:rPr>
              <w:t>6</w:t>
            </w:r>
          </w:p>
        </w:tc>
        <w:tc>
          <w:tcPr>
            <w:tcW w:type="dxa" w:w="2592"/>
            <w:shd w:val="clear" w:color="auto" w:fill="EEF2F7"/>
          </w:tcPr>
          <w:p>
            <w:r>
              <w:rPr>
                <w:sz w:val="18"/>
              </w:rPr>
              <w:t>App-logic default</w:t>
            </w:r>
          </w:p>
        </w:tc>
        <w:tc>
          <w:tcPr>
            <w:tcW w:type="dxa" w:w="5472"/>
            <w:shd w:val="clear" w:color="auto" w:fill="EEF2F7"/>
          </w:tcPr>
          <w:p>
            <w:r>
              <w:rPr>
                <w:sz w:val="18"/>
              </w:rPr>
              <w:t>ideal_hours.APP_DEFAULT_IDEAL_HOURS (GARDEN/TANK 500h, HDPE 550h)</w:t>
            </w:r>
          </w:p>
        </w:tc>
      </w:tr>
      <w:tr>
        <w:tc>
          <w:tcPr>
            <w:tcW w:type="dxa" w:w="1008"/>
            <w:shd w:val="clear" w:color="auto" w:fill="FFFFFF"/>
          </w:tcPr>
          <w:p>
            <w:r>
              <w:rPr>
                <w:sz w:val="18"/>
              </w:rPr>
              <w:t>7 (lowest)</w:t>
            </w:r>
          </w:p>
        </w:tc>
        <w:tc>
          <w:tcPr>
            <w:tcW w:type="dxa" w:w="2592"/>
            <w:shd w:val="clear" w:color="auto" w:fill="FFFFFF"/>
          </w:tcPr>
          <w:p>
            <w:r>
              <w:rPr>
                <w:sz w:val="18"/>
              </w:rPr>
              <w:t>None</w:t>
            </w:r>
          </w:p>
        </w:tc>
        <w:tc>
          <w:tcPr>
            <w:tcW w:type="dxa" w:w="5472"/>
            <w:shd w:val="clear" w:color="auto" w:fill="FFFFFF"/>
          </w:tcPr>
          <w:p>
            <w:r>
              <w:rPr>
                <w:sz w:val="18"/>
              </w:rPr>
              <w:t>Ratio suppressed — never shown as 0%</w:t>
            </w:r>
          </w:p>
        </w:tc>
      </w:tr>
    </w:tbl>
    <w:p/>
    <w:p>
      <w:pPr>
        <w:spacing w:after="80"/>
      </w:pPr>
      <w:r>
        <w:t>An override of 0 means "not expected to run" → utilisation stays blank (never a fake 0%). Overrides are applied by app._apply_ideal_overrides() using dataclasses.replace so the shared, in-process-cached Record objects are never mutated.</w:t>
      </w:r>
    </w:p>
    <w:p>
      <w:pPr>
        <w:pStyle w:val="Heading1"/>
        <w:spacing w:before="360" w:after="120"/>
      </w:pPr>
      <w:r>
        <w:t>6. API / Routes</w:t>
      </w:r>
    </w:p>
    <w:p>
      <w:pPr>
        <w:spacing w:after="80"/>
      </w:pPr>
      <w:r>
        <w:t>All routes are in app.py. Period-bearing GET routes accept ?period= (last_updated, yesterday, last_week, last_month, 1-12, q1-q4, current_fy, prior_fy, YYYY-MM, YYYY-MM-DD, custom) and optionally ?plant=, ?segment=, ?machine=, ?deep=on/off.</w:t>
      </w:r>
    </w:p>
    <w:p>
      <w:pPr>
        <w:pStyle w:val="Heading2"/>
        <w:spacing w:before="240" w:after="80"/>
      </w:pPr>
      <w:r>
        <w:t>Dashboard views</w:t>
      </w:r>
    </w:p>
    <w:tbl>
      <w:tblPr>
        <w:tblStyle w:val="TableGrid"/>
        <w:tblW w:type="auto" w:w="0"/>
        <w:tblLook w:firstColumn="1" w:firstRow="1" w:lastColumn="0" w:lastRow="0" w:noHBand="0" w:noVBand="1" w:val="04A0"/>
      </w:tblPr>
      <w:tblGrid>
        <w:gridCol w:w="4536"/>
        <w:gridCol w:w="4536"/>
      </w:tblGrid>
      <w:tr>
        <w:tc>
          <w:tcPr>
            <w:tcW w:type="dxa" w:w="2304"/>
            <w:shd w:val="clear" w:color="auto" w:fill="1F3864"/>
          </w:tcPr>
          <w:p>
            <w:r>
              <w:rPr>
                <w:b/>
                <w:color w:val="FFFFFF"/>
                <w:sz w:val="18"/>
              </w:rPr>
              <w:t>Route</w:t>
            </w:r>
          </w:p>
        </w:tc>
        <w:tc>
          <w:tcPr>
            <w:tcW w:type="dxa" w:w="6768"/>
            <w:shd w:val="clear" w:color="auto" w:fill="1F3864"/>
          </w:tcPr>
          <w:p>
            <w:r>
              <w:rPr>
                <w:b/>
                <w:color w:val="FFFFFF"/>
                <w:sz w:val="18"/>
              </w:rPr>
              <w:t>What it does</w:t>
            </w:r>
          </w:p>
        </w:tc>
      </w:tr>
      <w:tr>
        <w:tc>
          <w:tcPr>
            <w:tcW w:type="dxa" w:w="2304"/>
            <w:shd w:val="clear" w:color="auto" w:fill="FFFFFF"/>
          </w:tcPr>
          <w:p>
            <w:r>
              <w:rPr>
                <w:sz w:val="18"/>
              </w:rPr>
              <w:t>GET /</w:t>
            </w:r>
          </w:p>
        </w:tc>
        <w:tc>
          <w:tcPr>
            <w:tcW w:type="dxa" w:w="6768"/>
            <w:shd w:val="clear" w:color="auto" w:fill="FFFFFF"/>
          </w:tcPr>
          <w:p>
            <w:r>
              <w:rPr>
                <w:sz w:val="18"/>
              </w:rPr>
              <w:t>Main overview: plant summary grid, trend chart, plant bar chart, Claude narrative</w:t>
            </w:r>
          </w:p>
        </w:tc>
      </w:tr>
      <w:tr>
        <w:tc>
          <w:tcPr>
            <w:tcW w:type="dxa" w:w="2304"/>
            <w:shd w:val="clear" w:color="auto" w:fill="EEF2F7"/>
          </w:tcPr>
          <w:p>
            <w:r>
              <w:rPr>
                <w:sz w:val="18"/>
              </w:rPr>
              <w:t>GET /plant</w:t>
            </w:r>
          </w:p>
        </w:tc>
        <w:tc>
          <w:tcPr>
            <w:tcW w:type="dxa" w:w="6768"/>
            <w:shd w:val="clear" w:color="auto" w:fill="EEF2F7"/>
          </w:tcPr>
          <w:p>
            <w:r>
              <w:rPr>
                <w:sz w:val="18"/>
              </w:rPr>
              <w:t>Per-plant list: headline KPI + output per plant</w:t>
            </w:r>
          </w:p>
        </w:tc>
      </w:tr>
      <w:tr>
        <w:tc>
          <w:tcPr>
            <w:tcW w:type="dxa" w:w="2304"/>
            <w:shd w:val="clear" w:color="auto" w:fill="FFFFFF"/>
          </w:tcPr>
          <w:p>
            <w:r>
              <w:rPr>
                <w:sz w:val="18"/>
              </w:rPr>
              <w:t>GET /machine</w:t>
            </w:r>
          </w:p>
        </w:tc>
        <w:tc>
          <w:tcPr>
            <w:tcW w:type="dxa" w:w="6768"/>
            <w:shd w:val="clear" w:color="auto" w:fill="FFFFFF"/>
          </w:tcPr>
          <w:p>
            <w:r>
              <w:rPr>
                <w:sz w:val="18"/>
              </w:rPr>
              <w:t>Per-machine list sorted by headline KPI descending</w:t>
            </w:r>
          </w:p>
        </w:tc>
      </w:tr>
      <w:tr>
        <w:tc>
          <w:tcPr>
            <w:tcW w:type="dxa" w:w="2304"/>
            <w:shd w:val="clear" w:color="auto" w:fill="EEF2F7"/>
          </w:tcPr>
          <w:p>
            <w:r>
              <w:rPr>
                <w:sz w:val="18"/>
              </w:rPr>
              <w:t>GET /losses</w:t>
            </w:r>
          </w:p>
        </w:tc>
        <w:tc>
          <w:tcPr>
            <w:tcW w:type="dxa" w:w="6768"/>
            <w:shd w:val="clear" w:color="auto" w:fill="EEF2F7"/>
          </w:tcPr>
          <w:p>
            <w:r>
              <w:rPr>
                <w:sz w:val="18"/>
              </w:rPr>
              <w:t>Downtime Pareto chart + top-3 loss reasons table</w:t>
            </w:r>
          </w:p>
        </w:tc>
      </w:tr>
      <w:tr>
        <w:tc>
          <w:tcPr>
            <w:tcW w:type="dxa" w:w="2304"/>
            <w:shd w:val="clear" w:color="auto" w:fill="FFFFFF"/>
          </w:tcPr>
          <w:p>
            <w:r>
              <w:rPr>
                <w:sz w:val="18"/>
              </w:rPr>
              <w:t>GET /glossary</w:t>
            </w:r>
          </w:p>
        </w:tc>
        <w:tc>
          <w:tcPr>
            <w:tcW w:type="dxa" w:w="6768"/>
            <w:shd w:val="clear" w:color="auto" w:fill="FFFFFF"/>
          </w:tcPr>
          <w:p>
            <w:r>
              <w:rPr>
                <w:sz w:val="18"/>
              </w:rPr>
              <w:t>In-app formula reference</w:t>
            </w:r>
          </w:p>
        </w:tc>
      </w:tr>
    </w:tbl>
    <w:p/>
    <w:p>
      <w:pPr>
        <w:pStyle w:val="Heading2"/>
        <w:spacing w:before="240" w:after="80"/>
      </w:pPr>
      <w:r>
        <w:t>Data quality views</w:t>
      </w:r>
    </w:p>
    <w:tbl>
      <w:tblPr>
        <w:tblStyle w:val="TableGrid"/>
        <w:tblW w:type="auto" w:w="0"/>
        <w:tblLook w:firstColumn="1" w:firstRow="1" w:lastColumn="0" w:lastRow="0" w:noHBand="0" w:noVBand="1" w:val="04A0"/>
      </w:tblPr>
      <w:tblGrid>
        <w:gridCol w:w="4536"/>
        <w:gridCol w:w="4536"/>
      </w:tblGrid>
      <w:tr>
        <w:tc>
          <w:tcPr>
            <w:tcW w:type="dxa" w:w="3312"/>
            <w:shd w:val="clear" w:color="auto" w:fill="1F3864"/>
          </w:tcPr>
          <w:p>
            <w:r>
              <w:rPr>
                <w:b/>
                <w:color w:val="FFFFFF"/>
                <w:sz w:val="18"/>
              </w:rPr>
              <w:t>Route</w:t>
            </w:r>
          </w:p>
        </w:tc>
        <w:tc>
          <w:tcPr>
            <w:tcW w:type="dxa" w:w="5760"/>
            <w:shd w:val="clear" w:color="auto" w:fill="1F3864"/>
          </w:tcPr>
          <w:p>
            <w:r>
              <w:rPr>
                <w:b/>
                <w:color w:val="FFFFFF"/>
                <w:sz w:val="18"/>
              </w:rPr>
              <w:t>What it does</w:t>
            </w:r>
          </w:p>
        </w:tc>
      </w:tr>
      <w:tr>
        <w:tc>
          <w:tcPr>
            <w:tcW w:type="dxa" w:w="3312"/>
            <w:shd w:val="clear" w:color="auto" w:fill="FFFFFF"/>
          </w:tcPr>
          <w:p>
            <w:r>
              <w:rPr>
                <w:sz w:val="18"/>
              </w:rPr>
              <w:t>GET /confirmation</w:t>
            </w:r>
          </w:p>
        </w:tc>
        <w:tc>
          <w:tcPr>
            <w:tcW w:type="dxa" w:w="5760"/>
            <w:shd w:val="clear" w:color="auto" w:fill="FFFFFF"/>
          </w:tcPr>
          <w:p>
            <w:r>
              <w:rPr>
                <w:sz w:val="18"/>
              </w:rPr>
              <w:t>Four-tier audit gate + sign-off history + freshness panel</w:t>
            </w:r>
          </w:p>
        </w:tc>
      </w:tr>
      <w:tr>
        <w:tc>
          <w:tcPr>
            <w:tcW w:type="dxa" w:w="3312"/>
            <w:shd w:val="clear" w:color="auto" w:fill="EEF2F7"/>
          </w:tcPr>
          <w:p>
            <w:r>
              <w:rPr>
                <w:sz w:val="18"/>
              </w:rPr>
              <w:t>POST /confirmation/approve</w:t>
            </w:r>
          </w:p>
        </w:tc>
        <w:tc>
          <w:tcPr>
            <w:tcW w:type="dxa" w:w="5760"/>
            <w:shd w:val="clear" w:color="auto" w:fill="EEF2F7"/>
          </w:tcPr>
          <w:p>
            <w:r>
              <w:rPr>
                <w:sz w:val="18"/>
              </w:rPr>
              <w:t>Record manager sign-off (name + Claude check required)</w:t>
            </w:r>
          </w:p>
        </w:tc>
      </w:tr>
      <w:tr>
        <w:tc>
          <w:tcPr>
            <w:tcW w:type="dxa" w:w="3312"/>
            <w:shd w:val="clear" w:color="auto" w:fill="FFFFFF"/>
          </w:tcPr>
          <w:p>
            <w:r>
              <w:rPr>
                <w:sz w:val="18"/>
              </w:rPr>
              <w:t>POST /confirmation/revoke</w:t>
            </w:r>
          </w:p>
        </w:tc>
        <w:tc>
          <w:tcPr>
            <w:tcW w:type="dxa" w:w="5760"/>
            <w:shd w:val="clear" w:color="auto" w:fill="FFFFFF"/>
          </w:tcPr>
          <w:p>
            <w:r>
              <w:rPr>
                <w:sz w:val="18"/>
              </w:rPr>
              <w:t>Revoke a sign-off</w:t>
            </w:r>
          </w:p>
        </w:tc>
      </w:tr>
      <w:tr>
        <w:tc>
          <w:tcPr>
            <w:tcW w:type="dxa" w:w="3312"/>
            <w:shd w:val="clear" w:color="auto" w:fill="EEF2F7"/>
          </w:tcPr>
          <w:p>
            <w:r>
              <w:rPr>
                <w:sz w:val="18"/>
              </w:rPr>
              <w:t>POST /confirmation/ack_issue</w:t>
            </w:r>
          </w:p>
        </w:tc>
        <w:tc>
          <w:tcPr>
            <w:tcW w:type="dxa" w:w="5760"/>
            <w:shd w:val="clear" w:color="auto" w:fill="EEF2F7"/>
          </w:tcPr>
          <w:p>
            <w:r>
              <w:rPr>
                <w:sz w:val="18"/>
              </w:rPr>
              <w:t>Acknowledge a single flagged issue</w:t>
            </w:r>
          </w:p>
        </w:tc>
      </w:tr>
      <w:tr>
        <w:tc>
          <w:tcPr>
            <w:tcW w:type="dxa" w:w="3312"/>
            <w:shd w:val="clear" w:color="auto" w:fill="FFFFFF"/>
          </w:tcPr>
          <w:p>
            <w:r>
              <w:rPr>
                <w:sz w:val="18"/>
              </w:rPr>
              <w:t>POST /confirmation/unack_issue</w:t>
            </w:r>
          </w:p>
        </w:tc>
        <w:tc>
          <w:tcPr>
            <w:tcW w:type="dxa" w:w="5760"/>
            <w:shd w:val="clear" w:color="auto" w:fill="FFFFFF"/>
          </w:tcPr>
          <w:p>
            <w:r>
              <w:rPr>
                <w:sz w:val="18"/>
              </w:rPr>
              <w:t>Un-acknowledge an issue</w:t>
            </w:r>
          </w:p>
        </w:tc>
      </w:tr>
      <w:tr>
        <w:tc>
          <w:tcPr>
            <w:tcW w:type="dxa" w:w="3312"/>
            <w:shd w:val="clear" w:color="auto" w:fill="EEF2F7"/>
          </w:tcPr>
          <w:p>
            <w:r>
              <w:rPr>
                <w:sz w:val="18"/>
              </w:rPr>
              <w:t>POST /confirmation/ack_rollup</w:t>
            </w:r>
          </w:p>
        </w:tc>
        <w:tc>
          <w:tcPr>
            <w:tcW w:type="dxa" w:w="5760"/>
            <w:shd w:val="clear" w:color="auto" w:fill="EEF2F7"/>
          </w:tcPr>
          <w:p>
            <w:r>
              <w:rPr>
                <w:sz w:val="18"/>
              </w:rPr>
              <w:t>Dismiss a stale-rollup freshness alert</w:t>
            </w:r>
          </w:p>
        </w:tc>
      </w:tr>
      <w:tr>
        <w:tc>
          <w:tcPr>
            <w:tcW w:type="dxa" w:w="3312"/>
            <w:shd w:val="clear" w:color="auto" w:fill="FFFFFF"/>
          </w:tcPr>
          <w:p>
            <w:r>
              <w:rPr>
                <w:sz w:val="18"/>
              </w:rPr>
              <w:t>POST /confirmation/unack_rollup</w:t>
            </w:r>
          </w:p>
        </w:tc>
        <w:tc>
          <w:tcPr>
            <w:tcW w:type="dxa" w:w="5760"/>
            <w:shd w:val="clear" w:color="auto" w:fill="FFFFFF"/>
          </w:tcPr>
          <w:p>
            <w:r>
              <w:rPr>
                <w:sz w:val="18"/>
              </w:rPr>
              <w:t>Un-dismiss a stale-rollup alert</w:t>
            </w:r>
          </w:p>
        </w:tc>
      </w:tr>
      <w:tr>
        <w:tc>
          <w:tcPr>
            <w:tcW w:type="dxa" w:w="3312"/>
            <w:shd w:val="clear" w:color="auto" w:fill="EEF2F7"/>
          </w:tcPr>
          <w:p>
            <w:r>
              <w:rPr>
                <w:sz w:val="18"/>
              </w:rPr>
              <w:t>POST /confirmation/claude_review</w:t>
            </w:r>
          </w:p>
        </w:tc>
        <w:tc>
          <w:tcPr>
            <w:tcW w:type="dxa" w:w="5760"/>
            <w:shd w:val="clear" w:color="auto" w:fill="EEF2F7"/>
          </w:tcPr>
          <w:p>
            <w:r>
              <w:rPr>
                <w:sz w:val="18"/>
              </w:rPr>
              <w:t>Run Claude sanity check on pre-computed confirmation state; returns JSON</w:t>
            </w:r>
          </w:p>
        </w:tc>
      </w:tr>
      <w:tr>
        <w:tc>
          <w:tcPr>
            <w:tcW w:type="dxa" w:w="3312"/>
            <w:shd w:val="clear" w:color="auto" w:fill="FFFFFF"/>
          </w:tcPr>
          <w:p>
            <w:r>
              <w:rPr>
                <w:sz w:val="18"/>
              </w:rPr>
              <w:t>GET /verify</w:t>
            </w:r>
          </w:p>
        </w:tc>
        <w:tc>
          <w:tcPr>
            <w:tcW w:type="dxa" w:w="5760"/>
            <w:shd w:val="clear" w:color="auto" w:fill="FFFFFF"/>
          </w:tcPr>
          <w:p>
            <w:r>
              <w:rPr>
                <w:sz w:val="18"/>
              </w:rPr>
              <w:t>Data verification table + provenance</w:t>
            </w:r>
          </w:p>
        </w:tc>
      </w:tr>
      <w:tr>
        <w:tc>
          <w:tcPr>
            <w:tcW w:type="dxa" w:w="3312"/>
            <w:shd w:val="clear" w:color="auto" w:fill="EEF2F7"/>
          </w:tcPr>
          <w:p>
            <w:r>
              <w:rPr>
                <w:sz w:val="18"/>
              </w:rPr>
              <w:t>GET /verify.csv</w:t>
            </w:r>
          </w:p>
        </w:tc>
        <w:tc>
          <w:tcPr>
            <w:tcW w:type="dxa" w:w="5760"/>
            <w:shd w:val="clear" w:color="auto" w:fill="EEF2F7"/>
          </w:tcPr>
          <w:p>
            <w:r>
              <w:rPr>
                <w:sz w:val="18"/>
              </w:rPr>
              <w:t>Same as /verify but CSV download</w:t>
            </w:r>
          </w:p>
        </w:tc>
      </w:tr>
      <w:tr>
        <w:tc>
          <w:tcPr>
            <w:tcW w:type="dxa" w:w="3312"/>
            <w:shd w:val="clear" w:color="auto" w:fill="FFFFFF"/>
          </w:tcPr>
          <w:p>
            <w:r>
              <w:rPr>
                <w:sz w:val="18"/>
              </w:rPr>
              <w:t>POST /verify/log</w:t>
            </w:r>
          </w:p>
        </w:tc>
        <w:tc>
          <w:tcPr>
            <w:tcW w:type="dxa" w:w="5760"/>
            <w:shd w:val="clear" w:color="auto" w:fill="FFFFFF"/>
          </w:tcPr>
          <w:p>
            <w:r>
              <w:rPr>
                <w:sz w:val="18"/>
              </w:rPr>
              <w:t>Append a verification-run audit entry</w:t>
            </w:r>
          </w:p>
        </w:tc>
      </w:tr>
      <w:tr>
        <w:tc>
          <w:tcPr>
            <w:tcW w:type="dxa" w:w="3312"/>
            <w:shd w:val="clear" w:color="auto" w:fill="EEF2F7"/>
          </w:tcPr>
          <w:p>
            <w:r>
              <w:rPr>
                <w:sz w:val="18"/>
              </w:rPr>
              <w:t>GET /data</w:t>
            </w:r>
          </w:p>
        </w:tc>
        <w:tc>
          <w:tcPr>
            <w:tcW w:type="dxa" w:w="5760"/>
            <w:shd w:val="clear" w:color="auto" w:fill="EEF2F7"/>
          </w:tcPr>
          <w:p>
            <w:r>
              <w:rPr>
                <w:sz w:val="18"/>
              </w:rPr>
              <w:t>Data Health panel (plant status, workbook freshness, empty/idle flags)</w:t>
            </w:r>
          </w:p>
        </w:tc>
      </w:tr>
      <w:tr>
        <w:tc>
          <w:tcPr>
            <w:tcW w:type="dxa" w:w="3312"/>
            <w:shd w:val="clear" w:color="auto" w:fill="FFFFFF"/>
          </w:tcPr>
          <w:p>
            <w:r>
              <w:rPr>
                <w:sz w:val="18"/>
              </w:rPr>
              <w:t>GET /sources</w:t>
            </w:r>
          </w:p>
        </w:tc>
        <w:tc>
          <w:tcPr>
            <w:tcW w:type="dxa" w:w="5760"/>
            <w:shd w:val="clear" w:color="auto" w:fill="FFFFFF"/>
          </w:tcPr>
          <w:p>
            <w:r>
              <w:rPr>
                <w:sz w:val="18"/>
              </w:rPr>
              <w:t>Detected sources + Index catalogue</w:t>
            </w:r>
          </w:p>
        </w:tc>
      </w:tr>
      <w:tr>
        <w:tc>
          <w:tcPr>
            <w:tcW w:type="dxa" w:w="3312"/>
            <w:shd w:val="clear" w:color="auto" w:fill="EEF2F7"/>
          </w:tcPr>
          <w:p>
            <w:r>
              <w:rPr>
                <w:sz w:val="18"/>
              </w:rPr>
              <w:t>GET /manifest</w:t>
            </w:r>
          </w:p>
        </w:tc>
        <w:tc>
          <w:tcPr>
            <w:tcW w:type="dxa" w:w="5760"/>
            <w:shd w:val="clear" w:color="auto" w:fill="EEF2F7"/>
          </w:tcPr>
          <w:p>
            <w:r>
              <w:rPr>
                <w:sz w:val="18"/>
              </w:rPr>
              <w:t>Ingestion manifest (coverage gaps, schema flags, Claude advisory)</w:t>
            </w:r>
          </w:p>
        </w:tc>
      </w:tr>
    </w:tbl>
    <w:p/>
    <w:p>
      <w:pPr>
        <w:pStyle w:val="Heading2"/>
        <w:spacing w:before="240" w:after="80"/>
      </w:pPr>
      <w:r>
        <w:t>Ideal-hours overrides</w:t>
      </w:r>
    </w:p>
    <w:tbl>
      <w:tblPr>
        <w:tblStyle w:val="TableGrid"/>
        <w:tblW w:type="auto" w:w="0"/>
        <w:tblLook w:firstColumn="1" w:firstRow="1" w:lastColumn="0" w:lastRow="0" w:noHBand="0" w:noVBand="1" w:val="04A0"/>
      </w:tblPr>
      <w:tblGrid>
        <w:gridCol w:w="4536"/>
        <w:gridCol w:w="4536"/>
      </w:tblGrid>
      <w:tr>
        <w:tc>
          <w:tcPr>
            <w:tcW w:type="dxa" w:w="2304"/>
            <w:shd w:val="clear" w:color="auto" w:fill="1F3864"/>
          </w:tcPr>
          <w:p>
            <w:r>
              <w:rPr>
                <w:b/>
                <w:color w:val="FFFFFF"/>
                <w:sz w:val="18"/>
              </w:rPr>
              <w:t>Route</w:t>
            </w:r>
          </w:p>
        </w:tc>
        <w:tc>
          <w:tcPr>
            <w:tcW w:type="dxa" w:w="6768"/>
            <w:shd w:val="clear" w:color="auto" w:fill="1F3864"/>
          </w:tcPr>
          <w:p>
            <w:r>
              <w:rPr>
                <w:b/>
                <w:color w:val="FFFFFF"/>
                <w:sz w:val="18"/>
              </w:rPr>
              <w:t>What it does</w:t>
            </w:r>
          </w:p>
        </w:tc>
      </w:tr>
      <w:tr>
        <w:tc>
          <w:tcPr>
            <w:tcW w:type="dxa" w:w="2304"/>
            <w:shd w:val="clear" w:color="auto" w:fill="FFFFFF"/>
          </w:tcPr>
          <w:p>
            <w:r>
              <w:rPr>
                <w:sz w:val="18"/>
              </w:rPr>
              <w:t>GET /input</w:t>
            </w:r>
          </w:p>
        </w:tc>
        <w:tc>
          <w:tcPr>
            <w:tcW w:type="dxa" w:w="6768"/>
            <w:shd w:val="clear" w:color="auto" w:fill="FFFFFF"/>
          </w:tcPr>
          <w:p>
            <w:r>
              <w:rPr>
                <w:sz w:val="18"/>
              </w:rPr>
              <w:t>Per-machine ideal-hours view + override form</w:t>
            </w:r>
          </w:p>
        </w:tc>
      </w:tr>
      <w:tr>
        <w:tc>
          <w:tcPr>
            <w:tcW w:type="dxa" w:w="2304"/>
            <w:shd w:val="clear" w:color="auto" w:fill="EEF2F7"/>
          </w:tcPr>
          <w:p>
            <w:r>
              <w:rPr>
                <w:sz w:val="18"/>
              </w:rPr>
              <w:t>POST /input/save</w:t>
            </w:r>
          </w:p>
        </w:tc>
        <w:tc>
          <w:tcPr>
            <w:tcW w:type="dxa" w:w="6768"/>
            <w:shd w:val="clear" w:color="auto" w:fill="EEF2F7"/>
          </w:tcPr>
          <w:p>
            <w:r>
              <w:rPr>
                <w:sz w:val="18"/>
              </w:rPr>
              <w:t>Persist overrides to Postgres; never writes back to sheets</w:t>
            </w:r>
          </w:p>
        </w:tc>
      </w:tr>
    </w:tbl>
    <w:p/>
    <w:p>
      <w:pPr>
        <w:pStyle w:val="Heading2"/>
        <w:spacing w:before="240" w:after="80"/>
      </w:pPr>
      <w:r>
        <w:t>Reports</w:t>
      </w:r>
    </w:p>
    <w:tbl>
      <w:tblPr>
        <w:tblStyle w:val="TableGrid"/>
        <w:tblW w:type="auto" w:w="0"/>
        <w:tblLook w:firstColumn="1" w:firstRow="1" w:lastColumn="0" w:lastRow="0" w:noHBand="0" w:noVBand="1" w:val="04A0"/>
      </w:tblPr>
      <w:tblGrid>
        <w:gridCol w:w="4536"/>
        <w:gridCol w:w="4536"/>
      </w:tblGrid>
      <w:tr>
        <w:tc>
          <w:tcPr>
            <w:tcW w:type="dxa" w:w="3600"/>
            <w:shd w:val="clear" w:color="auto" w:fill="1F3864"/>
          </w:tcPr>
          <w:p>
            <w:r>
              <w:rPr>
                <w:b/>
                <w:color w:val="FFFFFF"/>
                <w:sz w:val="18"/>
              </w:rPr>
              <w:t>Route</w:t>
            </w:r>
          </w:p>
        </w:tc>
        <w:tc>
          <w:tcPr>
            <w:tcW w:type="dxa" w:w="5472"/>
            <w:shd w:val="clear" w:color="auto" w:fill="1F3864"/>
          </w:tcPr>
          <w:p>
            <w:r>
              <w:rPr>
                <w:b/>
                <w:color w:val="FFFFFF"/>
                <w:sz w:val="18"/>
              </w:rPr>
              <w:t>What it does</w:t>
            </w:r>
          </w:p>
        </w:tc>
      </w:tr>
      <w:tr>
        <w:tc>
          <w:tcPr>
            <w:tcW w:type="dxa" w:w="3600"/>
            <w:shd w:val="clear" w:color="auto" w:fill="FFFFFF"/>
          </w:tcPr>
          <w:p>
            <w:r>
              <w:rPr>
                <w:sz w:val="18"/>
              </w:rPr>
              <w:t>GET /reports</w:t>
            </w:r>
          </w:p>
        </w:tc>
        <w:tc>
          <w:tcPr>
            <w:tcW w:type="dxa" w:w="5472"/>
            <w:shd w:val="clear" w:color="auto" w:fill="FFFFFF"/>
          </w:tcPr>
          <w:p>
            <w:r>
              <w:rPr>
                <w:sz w:val="18"/>
              </w:rPr>
              <w:t>Report index</w:t>
            </w:r>
          </w:p>
        </w:tc>
      </w:tr>
      <w:tr>
        <w:tc>
          <w:tcPr>
            <w:tcW w:type="dxa" w:w="3600"/>
            <w:shd w:val="clear" w:color="auto" w:fill="EEF2F7"/>
          </w:tcPr>
          <w:p>
            <w:r>
              <w:rPr>
                <w:sz w:val="18"/>
              </w:rPr>
              <w:t>GET /reports/&lt;report_id&gt;</w:t>
            </w:r>
          </w:p>
        </w:tc>
        <w:tc>
          <w:tcPr>
            <w:tcW w:type="dxa" w:w="5472"/>
            <w:shd w:val="clear" w:color="auto" w:fill="EEF2F7"/>
          </w:tcPr>
          <w:p>
            <w:r>
              <w:rPr>
                <w:sz w:val="18"/>
              </w:rPr>
              <w:t>Per-report page: table + recon badge + AI narrative button</w:t>
            </w:r>
          </w:p>
        </w:tc>
      </w:tr>
      <w:tr>
        <w:tc>
          <w:tcPr>
            <w:tcW w:type="dxa" w:w="3600"/>
            <w:shd w:val="clear" w:color="auto" w:fill="FFFFFF"/>
          </w:tcPr>
          <w:p>
            <w:r>
              <w:rPr>
                <w:sz w:val="18"/>
              </w:rPr>
              <w:t>GET /reports/&lt;report_id&gt;/ai-report</w:t>
            </w:r>
          </w:p>
        </w:tc>
        <w:tc>
          <w:tcPr>
            <w:tcW w:type="dxa" w:w="5472"/>
            <w:shd w:val="clear" w:color="auto" w:fill="FFFFFF"/>
          </w:tcPr>
          <w:p>
            <w:r>
              <w:rPr>
                <w:sz w:val="18"/>
              </w:rPr>
              <w:t>Async JSON: run Claude analysis, return rendered HTML</w:t>
            </w:r>
          </w:p>
        </w:tc>
      </w:tr>
      <w:tr>
        <w:tc>
          <w:tcPr>
            <w:tcW w:type="dxa" w:w="3600"/>
            <w:shd w:val="clear" w:color="auto" w:fill="EEF2F7"/>
          </w:tcPr>
          <w:p>
            <w:r>
              <w:rPr>
                <w:sz w:val="18"/>
              </w:rPr>
              <w:t>GET /reports/pipe_moulds</w:t>
            </w:r>
          </w:p>
        </w:tc>
        <w:tc>
          <w:tcPr>
            <w:tcW w:type="dxa" w:w="5472"/>
            <w:shd w:val="clear" w:color="auto" w:fill="EEF2F7"/>
          </w:tcPr>
          <w:p>
            <w:r>
              <w:rPr>
                <w:sz w:val="18"/>
              </w:rPr>
              <w:t>Pipe Moulds summary (Reports 17-20 from PIPE workbook)</w:t>
            </w:r>
          </w:p>
        </w:tc>
      </w:tr>
      <w:tr>
        <w:tc>
          <w:tcPr>
            <w:tcW w:type="dxa" w:w="3600"/>
            <w:shd w:val="clear" w:color="auto" w:fill="FFFFFF"/>
          </w:tcPr>
          <w:p>
            <w:r>
              <w:rPr>
                <w:sz w:val="18"/>
              </w:rPr>
              <w:t>GET /reports/compound</w:t>
            </w:r>
          </w:p>
        </w:tc>
        <w:tc>
          <w:tcPr>
            <w:tcW w:type="dxa" w:w="5472"/>
            <w:shd w:val="clear" w:color="auto" w:fill="FFFFFF"/>
          </w:tcPr>
          <w:p>
            <w:r>
              <w:rPr>
                <w:sz w:val="18"/>
              </w:rPr>
              <w:t>Compound (CP fittings) report</w:t>
            </w:r>
          </w:p>
        </w:tc>
      </w:tr>
      <w:tr>
        <w:tc>
          <w:tcPr>
            <w:tcW w:type="dxa" w:w="3600"/>
            <w:shd w:val="clear" w:color="auto" w:fill="EEF2F7"/>
          </w:tcPr>
          <w:p>
            <w:r>
              <w:rPr>
                <w:sz w:val="18"/>
              </w:rPr>
              <w:t>GET /reports/gom_summary</w:t>
            </w:r>
          </w:p>
        </w:tc>
        <w:tc>
          <w:tcPr>
            <w:tcW w:type="dxa" w:w="5472"/>
            <w:shd w:val="clear" w:color="auto" w:fill="EEF2F7"/>
          </w:tcPr>
          <w:p>
            <w:r>
              <w:rPr>
                <w:sz w:val="18"/>
              </w:rPr>
              <w:t>Group-of-Moulding tonnage-band summary</w:t>
            </w:r>
          </w:p>
        </w:tc>
      </w:tr>
      <w:tr>
        <w:tc>
          <w:tcPr>
            <w:tcW w:type="dxa" w:w="3600"/>
            <w:shd w:val="clear" w:color="auto" w:fill="FFFFFF"/>
          </w:tcPr>
          <w:p>
            <w:r>
              <w:rPr>
                <w:sz w:val="18"/>
              </w:rPr>
              <w:t>GET /reports/segment_labour</w:t>
            </w:r>
          </w:p>
        </w:tc>
        <w:tc>
          <w:tcPr>
            <w:tcW w:type="dxa" w:w="5472"/>
            <w:shd w:val="clear" w:color="auto" w:fill="FFFFFF"/>
          </w:tcPr>
          <w:p>
            <w:r>
              <w:rPr>
                <w:sz w:val="18"/>
              </w:rPr>
              <w:t>Segment-labour cost report</w:t>
            </w:r>
          </w:p>
        </w:tc>
      </w:tr>
      <w:tr>
        <w:tc>
          <w:tcPr>
            <w:tcW w:type="dxa" w:w="3600"/>
            <w:shd w:val="clear" w:color="auto" w:fill="EEF2F7"/>
          </w:tcPr>
          <w:p>
            <w:r>
              <w:rPr>
                <w:sz w:val="18"/>
              </w:rPr>
              <w:t>GET /reports/tank_location</w:t>
            </w:r>
          </w:p>
        </w:tc>
        <w:tc>
          <w:tcPr>
            <w:tcW w:type="dxa" w:w="5472"/>
            <w:shd w:val="clear" w:color="auto" w:fill="EEF2F7"/>
          </w:tcPr>
          <w:p>
            <w:r>
              <w:rPr>
                <w:sz w:val="18"/>
              </w:rPr>
              <w:t>Tank per-location detail (VN / WB)</w:t>
            </w:r>
          </w:p>
        </w:tc>
      </w:tr>
      <w:tr>
        <w:tc>
          <w:tcPr>
            <w:tcW w:type="dxa" w:w="3600"/>
            <w:shd w:val="clear" w:color="auto" w:fill="FFFFFF"/>
          </w:tcPr>
          <w:p>
            <w:r>
              <w:rPr>
                <w:sz w:val="18"/>
              </w:rPr>
              <w:t>GET /management-reports</w:t>
            </w:r>
          </w:p>
        </w:tc>
        <w:tc>
          <w:tcPr>
            <w:tcW w:type="dxa" w:w="5472"/>
            <w:shd w:val="clear" w:color="auto" w:fill="FFFFFF"/>
          </w:tcPr>
          <w:p>
            <w:r>
              <w:rPr>
                <w:sz w:val="18"/>
              </w:rPr>
              <w:t>Management reports list + per-report XLSX download index</w:t>
            </w:r>
          </w:p>
        </w:tc>
      </w:tr>
      <w:tr>
        <w:tc>
          <w:tcPr>
            <w:tcW w:type="dxa" w:w="3600"/>
            <w:shd w:val="clear" w:color="auto" w:fill="EEF2F7"/>
          </w:tcPr>
          <w:p>
            <w:r>
              <w:rPr>
                <w:sz w:val="18"/>
              </w:rPr>
              <w:t>POST /management-reports/zip</w:t>
            </w:r>
          </w:p>
        </w:tc>
        <w:tc>
          <w:tcPr>
            <w:tcW w:type="dxa" w:w="5472"/>
            <w:shd w:val="clear" w:color="auto" w:fill="EEF2F7"/>
          </w:tcPr>
          <w:p>
            <w:r>
              <w:rPr>
                <w:sz w:val="18"/>
              </w:rPr>
              <w:t>Build and download ZIP of all report XLSXs</w:t>
            </w:r>
          </w:p>
        </w:tc>
      </w:tr>
    </w:tbl>
    <w:p/>
    <w:p>
      <w:pPr>
        <w:pStyle w:val="Heading2"/>
        <w:spacing w:before="240" w:after="80"/>
      </w:pPr>
      <w:r>
        <w:t>Exports</w:t>
      </w:r>
    </w:p>
    <w:tbl>
      <w:tblPr>
        <w:tblStyle w:val="TableGrid"/>
        <w:tblW w:type="auto" w:w="0"/>
        <w:tblLook w:firstColumn="1" w:firstRow="1" w:lastColumn="0" w:lastRow="0" w:noHBand="0" w:noVBand="1" w:val="04A0"/>
      </w:tblPr>
      <w:tblGrid>
        <w:gridCol w:w="4536"/>
        <w:gridCol w:w="4536"/>
      </w:tblGrid>
      <w:tr>
        <w:tc>
          <w:tcPr>
            <w:tcW w:type="dxa" w:w="3312"/>
            <w:shd w:val="clear" w:color="auto" w:fill="1F3864"/>
          </w:tcPr>
          <w:p>
            <w:r>
              <w:rPr>
                <w:b/>
                <w:color w:val="FFFFFF"/>
                <w:sz w:val="18"/>
              </w:rPr>
              <w:t>Route</w:t>
            </w:r>
          </w:p>
        </w:tc>
        <w:tc>
          <w:tcPr>
            <w:tcW w:type="dxa" w:w="5760"/>
            <w:shd w:val="clear" w:color="auto" w:fill="1F3864"/>
          </w:tcPr>
          <w:p>
            <w:r>
              <w:rPr>
                <w:b/>
                <w:color w:val="FFFFFF"/>
                <w:sz w:val="18"/>
              </w:rPr>
              <w:t>What it does</w:t>
            </w:r>
          </w:p>
        </w:tc>
      </w:tr>
      <w:tr>
        <w:tc>
          <w:tcPr>
            <w:tcW w:type="dxa" w:w="3312"/>
            <w:shd w:val="clear" w:color="auto" w:fill="FFFFFF"/>
          </w:tcPr>
          <w:p>
            <w:r>
              <w:rPr>
                <w:sz w:val="18"/>
              </w:rPr>
              <w:t>GET /export-pdf/&lt;report_id&gt;</w:t>
            </w:r>
          </w:p>
        </w:tc>
        <w:tc>
          <w:tcPr>
            <w:tcW w:type="dxa" w:w="5760"/>
            <w:shd w:val="clear" w:color="auto" w:fill="FFFFFF"/>
          </w:tcPr>
          <w:p>
            <w:r>
              <w:rPr>
                <w:sz w:val="18"/>
              </w:rPr>
              <w:t>PDF of a report table + narrative (ReportLab)</w:t>
            </w:r>
          </w:p>
        </w:tc>
      </w:tr>
      <w:tr>
        <w:tc>
          <w:tcPr>
            <w:tcW w:type="dxa" w:w="3312"/>
            <w:shd w:val="clear" w:color="auto" w:fill="EEF2F7"/>
          </w:tcPr>
          <w:p>
            <w:r>
              <w:rPr>
                <w:sz w:val="18"/>
              </w:rPr>
              <w:t>GET /export-ai-pdf/&lt;report_id&gt;</w:t>
            </w:r>
          </w:p>
        </w:tc>
        <w:tc>
          <w:tcPr>
            <w:tcW w:type="dxa" w:w="5760"/>
            <w:shd w:val="clear" w:color="auto" w:fill="EEF2F7"/>
          </w:tcPr>
          <w:p>
            <w:r>
              <w:rPr>
                <w:sz w:val="18"/>
              </w:rPr>
              <w:t>PDF of Claude's structured AI analytical report</w:t>
            </w:r>
          </w:p>
        </w:tc>
      </w:tr>
    </w:tbl>
    <w:p/>
    <w:p>
      <w:pPr>
        <w:pStyle w:val="Heading2"/>
        <w:spacing w:before="240" w:after="80"/>
      </w:pPr>
      <w:r>
        <w:t>Admin / health</w:t>
      </w:r>
    </w:p>
    <w:tbl>
      <w:tblPr>
        <w:tblStyle w:val="TableGrid"/>
        <w:tblW w:type="auto" w:w="0"/>
        <w:tblLook w:firstColumn="1" w:firstRow="1" w:lastColumn="0" w:lastRow="0" w:noHBand="0" w:noVBand="1" w:val="04A0"/>
      </w:tblPr>
      <w:tblGrid>
        <w:gridCol w:w="4536"/>
        <w:gridCol w:w="4536"/>
      </w:tblGrid>
      <w:tr>
        <w:tc>
          <w:tcPr>
            <w:tcW w:type="dxa" w:w="3312"/>
            <w:shd w:val="clear" w:color="auto" w:fill="1F3864"/>
          </w:tcPr>
          <w:p>
            <w:r>
              <w:rPr>
                <w:b/>
                <w:color w:val="FFFFFF"/>
                <w:sz w:val="18"/>
              </w:rPr>
              <w:t>Route</w:t>
            </w:r>
          </w:p>
        </w:tc>
        <w:tc>
          <w:tcPr>
            <w:tcW w:type="dxa" w:w="5760"/>
            <w:shd w:val="clear" w:color="auto" w:fill="1F3864"/>
          </w:tcPr>
          <w:p>
            <w:r>
              <w:rPr>
                <w:b/>
                <w:color w:val="FFFFFF"/>
                <w:sz w:val="18"/>
              </w:rPr>
              <w:t>What it does</w:t>
            </w:r>
          </w:p>
        </w:tc>
      </w:tr>
      <w:tr>
        <w:tc>
          <w:tcPr>
            <w:tcW w:type="dxa" w:w="3312"/>
            <w:shd w:val="clear" w:color="auto" w:fill="FFFFFF"/>
          </w:tcPr>
          <w:p>
            <w:r>
              <w:rPr>
                <w:sz w:val="18"/>
              </w:rPr>
              <w:t>GET /health</w:t>
            </w:r>
          </w:p>
        </w:tc>
        <w:tc>
          <w:tcPr>
            <w:tcW w:type="dxa" w:w="5760"/>
            <w:shd w:val="clear" w:color="auto" w:fill="FFFFFF"/>
          </w:tcPr>
          <w:p>
            <w:r>
              <w:rPr>
                <w:sz w:val="18"/>
              </w:rPr>
              <w:t>{"status":"ok","demo":false} — used by workflow health check</w:t>
            </w:r>
          </w:p>
        </w:tc>
      </w:tr>
      <w:tr>
        <w:tc>
          <w:tcPr>
            <w:tcW w:type="dxa" w:w="3312"/>
            <w:shd w:val="clear" w:color="auto" w:fill="EEF2F7"/>
          </w:tcPr>
          <w:p>
            <w:r>
              <w:rPr>
                <w:sz w:val="18"/>
              </w:rPr>
              <w:t>GET /build-state</w:t>
            </w:r>
          </w:p>
        </w:tc>
        <w:tc>
          <w:tcPr>
            <w:tcW w:type="dxa" w:w="5760"/>
            <w:shd w:val="clear" w:color="auto" w:fill="EEF2F7"/>
          </w:tcPr>
          <w:p>
            <w:r>
              <w:rPr>
                <w:sz w:val="18"/>
              </w:rPr>
              <w:t>Live spec-acceptance gate: 17+ assertions vs real sheets, HTML PASS/FAIL table</w:t>
            </w:r>
          </w:p>
        </w:tc>
      </w:tr>
      <w:tr>
        <w:tc>
          <w:tcPr>
            <w:tcW w:type="dxa" w:w="3312"/>
            <w:shd w:val="clear" w:color="auto" w:fill="FFFFFF"/>
          </w:tcPr>
          <w:p>
            <w:r>
              <w:rPr>
                <w:sz w:val="18"/>
              </w:rPr>
              <w:t>POST /refresh</w:t>
            </w:r>
          </w:p>
        </w:tc>
        <w:tc>
          <w:tcPr>
            <w:tcW w:type="dxa" w:w="5760"/>
            <w:shd w:val="clear" w:color="auto" w:fill="FFFFFF"/>
          </w:tcPr>
          <w:p>
            <w:r>
              <w:rPr>
                <w:sz w:val="18"/>
              </w:rPr>
              <w:t>Force cache clear + re-sync</w:t>
            </w:r>
          </w:p>
        </w:tc>
      </w:tr>
      <w:tr>
        <w:tc>
          <w:tcPr>
            <w:tcW w:type="dxa" w:w="3312"/>
            <w:shd w:val="clear" w:color="auto" w:fill="EEF2F7"/>
          </w:tcPr>
          <w:p>
            <w:r>
              <w:rPr>
                <w:sz w:val="18"/>
              </w:rPr>
              <w:t>GET /api-key</w:t>
            </w:r>
          </w:p>
        </w:tc>
        <w:tc>
          <w:tcPr>
            <w:tcW w:type="dxa" w:w="5760"/>
            <w:shd w:val="clear" w:color="auto" w:fill="EEF2F7"/>
          </w:tcPr>
          <w:p>
            <w:r>
              <w:rPr>
                <w:sz w:val="18"/>
              </w:rPr>
              <w:t>API key management page</w:t>
            </w:r>
          </w:p>
        </w:tc>
      </w:tr>
      <w:tr>
        <w:tc>
          <w:tcPr>
            <w:tcW w:type="dxa" w:w="3312"/>
            <w:shd w:val="clear" w:color="auto" w:fill="FFFFFF"/>
          </w:tcPr>
          <w:p>
            <w:r>
              <w:rPr>
                <w:sz w:val="18"/>
              </w:rPr>
              <w:t>POST /api-key/save</w:t>
            </w:r>
          </w:p>
        </w:tc>
        <w:tc>
          <w:tcPr>
            <w:tcW w:type="dxa" w:w="5760"/>
            <w:shd w:val="clear" w:color="auto" w:fill="FFFFFF"/>
          </w:tcPr>
          <w:p>
            <w:r>
              <w:rPr>
                <w:sz w:val="18"/>
              </w:rPr>
              <w:t>Save API key to Postgres</w:t>
            </w:r>
          </w:p>
        </w:tc>
      </w:tr>
      <w:tr>
        <w:tc>
          <w:tcPr>
            <w:tcW w:type="dxa" w:w="3312"/>
            <w:shd w:val="clear" w:color="auto" w:fill="EEF2F7"/>
          </w:tcPr>
          <w:p>
            <w:r>
              <w:rPr>
                <w:sz w:val="18"/>
              </w:rPr>
              <w:t>GET /segment-input</w:t>
            </w:r>
          </w:p>
        </w:tc>
        <w:tc>
          <w:tcPr>
            <w:tcW w:type="dxa" w:w="5760"/>
            <w:shd w:val="clear" w:color="auto" w:fill="EEF2F7"/>
          </w:tcPr>
          <w:p>
            <w:r>
              <w:rPr>
                <w:sz w:val="18"/>
              </w:rPr>
              <w:t>Segment-manual-input view</w:t>
            </w:r>
          </w:p>
        </w:tc>
      </w:tr>
      <w:tr>
        <w:tc>
          <w:tcPr>
            <w:tcW w:type="dxa" w:w="3312"/>
            <w:shd w:val="clear" w:color="auto" w:fill="FFFFFF"/>
          </w:tcPr>
          <w:p>
            <w:r>
              <w:rPr>
                <w:sz w:val="18"/>
              </w:rPr>
              <w:t>POST /segment-input/save</w:t>
            </w:r>
          </w:p>
        </w:tc>
        <w:tc>
          <w:tcPr>
            <w:tcW w:type="dxa" w:w="5760"/>
            <w:shd w:val="clear" w:color="auto" w:fill="FFFFFF"/>
          </w:tcPr>
          <w:p>
            <w:r>
              <w:rPr>
                <w:sz w:val="18"/>
              </w:rPr>
              <w:t>Save segment manual entries</w:t>
            </w:r>
          </w:p>
        </w:tc>
      </w:tr>
    </w:tbl>
    <w:p/>
    <w:p>
      <w:pPr>
        <w:pStyle w:val="Heading1"/>
        <w:spacing w:before="360" w:after="120"/>
      </w:pPr>
      <w:r>
        <w:t>7. Frontend / UI</w:t>
      </w:r>
    </w:p>
    <w:p>
      <w:pPr>
        <w:pStyle w:val="Heading2"/>
        <w:spacing w:before="240" w:after="80"/>
      </w:pPr>
      <w:r>
        <w:t>Layout</w:t>
      </w:r>
    </w:p>
    <w:p>
      <w:pPr>
        <w:spacing w:after="80"/>
      </w:pPr>
      <w:r>
        <w:t>base.html provides the shell — left sidebar (desktop) / bottom nav (mobile), period picker (month dropdown + FY/quarter options), a "Last synced N min ago" stamp, and a grain banner when a sub-monthly period is being served from daily data.</w:t>
      </w:r>
    </w:p>
    <w:p>
      <w:pPr>
        <w:pStyle w:val="Heading2"/>
        <w:spacing w:before="240" w:after="80"/>
      </w:pPr>
      <w:r>
        <w:t>Home page (/ → overview.html)</w:t>
      </w:r>
    </w:p>
    <w:p>
      <w:pPr>
        <w:spacing w:after="80"/>
      </w:pPr>
      <w:r>
        <w:t>Plant summary grid — one card per plant showing: headline KPI badge (OEE / Output Efficiency / Utilisation) with colour rating (green/amber/red), output total in the plant's native unit, rejection %, and a label ("No baseline set" / "Run hours not recorded") when the KPI is suppressed. Below the grid: a per-day or per-month trend chart and a plant output bar chart. Claude narrative paragraph appears below when ANTHROPIC_API_KEY is configured.</w:t>
      </w:r>
    </w:p>
    <w:p>
      <w:pPr>
        <w:pStyle w:val="Heading2"/>
        <w:spacing w:before="240" w:after="80"/>
      </w:pPr>
      <w:r>
        <w:t>Plant list (/plant → plant.html)</w:t>
      </w:r>
    </w:p>
    <w:p>
      <w:pPr>
        <w:spacing w:after="80"/>
      </w:pPr>
      <w:r>
        <w:t>Same card layout but one card per plant, clickable to a plant detail.</w:t>
      </w:r>
    </w:p>
    <w:p>
      <w:pPr>
        <w:pStyle w:val="Heading2"/>
        <w:spacing w:before="240" w:after="80"/>
      </w:pPr>
      <w:r>
        <w:t>Machine list (/machine → machine.html)</w:t>
      </w:r>
    </w:p>
    <w:p>
      <w:pPr>
        <w:spacing w:after="80"/>
      </w:pPr>
      <w:r>
        <w:t>One row per machine sorted by headline KPI descending. Shows machine name, ideal hours, actual hours, output, rejection %, utilisation.</w:t>
      </w:r>
    </w:p>
    <w:p>
      <w:pPr>
        <w:pStyle w:val="Heading2"/>
        <w:spacing w:before="240" w:after="80"/>
      </w:pPr>
      <w:r>
        <w:t>Losses (/losses → losses.html)</w:t>
      </w:r>
    </w:p>
    <w:p>
      <w:pPr>
        <w:spacing w:after="80"/>
      </w:pPr>
      <w:r>
        <w:t>Downtime Pareto (bar + cumulative % line) + top-3 loss reasons table. Meaningful only for OEE-capable plants with downtime reasons logged in the daily shift log.</w:t>
      </w:r>
    </w:p>
    <w:p>
      <w:pPr>
        <w:pStyle w:val="Heading2"/>
        <w:spacing w:before="240" w:after="80"/>
      </w:pPr>
      <w:r>
        <w:t>Report pages (/reports/&lt;id&gt; → report_detail.html)</w:t>
      </w:r>
    </w:p>
    <w:p>
      <w:pPr>
        <w:spacing w:after="80"/>
      </w:pPr>
      <w:r>
        <w:t>Each report has:</w:t>
      </w:r>
    </w:p>
    <w:p>
      <w:pPr>
        <w:pStyle w:val="ListBullet"/>
        <w:spacing w:after="40"/>
        <w:ind w:left="360"/>
      </w:pPr>
      <w:r>
        <w:t>A KPI strip (headline metric, output, rejection, utilisation).</w:t>
      </w:r>
    </w:p>
    <w:p>
      <w:pPr>
        <w:pStyle w:val="ListBullet"/>
        <w:spacing w:after="40"/>
        <w:ind w:left="360"/>
      </w:pPr>
      <w:r>
        <w:t>A data table whose columns vary by report type — _build_report_table() in app.py dispatches by report_id to produce machine/mould/segment/compound table variants.</w:t>
      </w:r>
    </w:p>
    <w:p>
      <w:pPr>
        <w:pStyle w:val="ListBullet"/>
        <w:spacing w:after="40"/>
        <w:ind w:left="360"/>
      </w:pPr>
      <w:r>
        <w:t>A reconciliation badge (_recon_badge.html) showing daily-first total vs monthly summary grid; positive delta is expected (grid undercounts); only daily-first falling SHORT of grid is flagged.</w:t>
      </w:r>
    </w:p>
    <w:p>
      <w:pPr>
        <w:pStyle w:val="ListBullet"/>
        <w:spacing w:after="40"/>
        <w:ind w:left="360"/>
      </w:pPr>
      <w:r>
        <w:t>An "AI Analysis" button that fires GET /reports/&lt;id&gt;/ai-report asynchronously; the result is rendered into _ai_report.html inline.</w:t>
      </w:r>
    </w:p>
    <w:p>
      <w:pPr>
        <w:pStyle w:val="ListBullet"/>
        <w:spacing w:after="40"/>
        <w:ind w:left="360"/>
      </w:pPr>
      <w:r>
        <w:t>PDF and AI-PDF download buttons.</w:t>
      </w:r>
    </w:p>
    <w:p>
      <w:pPr>
        <w:pStyle w:val="Heading2"/>
        <w:spacing w:before="240" w:after="80"/>
      </w:pPr>
      <w:r>
        <w:t>Confirmation page (/confirmation → confirmation.html)</w:t>
      </w:r>
    </w:p>
    <w:p>
      <w:pPr>
        <w:spacing w:after="80"/>
      </w:pPr>
      <w:r>
        <w:t>Four-tier audit gate — issues as expandable cards with severity (error/warning), issue key, machine, message, per-issue "Reviewed" button. Overall status badge (pass/fail/review). "Approve &amp; Publish" is only enabled after Claude sanity check is run. Sign-off history table beneath. Freshness panel (_freshness_panel.html) shows per-workbook change fingerprints.</w:t>
      </w:r>
    </w:p>
    <w:p>
      <w:pPr>
        <w:pStyle w:val="Heading2"/>
        <w:spacing w:before="240" w:after="80"/>
      </w:pPr>
      <w:r>
        <w:t>Data Health (/data → data_health.html)</w:t>
      </w:r>
    </w:p>
    <w:p>
      <w:pPr>
        <w:spacing w:after="80"/>
      </w:pPr>
      <w:r>
        <w:t>Four summary cards (latest date, plants reporting, empty workbooks, idle machines), per-plant status table (current / lagging N days / empty / awaiting), source workbook table with last-modified and data-through columns.</w:t>
      </w:r>
    </w:p>
    <w:p>
      <w:pPr>
        <w:pStyle w:val="Heading2"/>
        <w:spacing w:before="240" w:after="80"/>
      </w:pPr>
      <w:r>
        <w:t>Ideal Hours (/input → ideal_input.html)</w:t>
      </w:r>
    </w:p>
    <w:p>
      <w:pPr>
        <w:spacing w:after="80"/>
      </w:pPr>
      <w:r>
        <w:t>Per-machine table — sheet baseline, baseline source label (override/derived/sheet/config/app-default), existing override with who set it and when, effective value. Editable form — blank clears an existing override, a number sets it (0 = "not expected to run").</w:t>
      </w:r>
    </w:p>
    <w:p>
      <w:pPr>
        <w:pStyle w:val="Heading2"/>
        <w:spacing w:before="240" w:after="80"/>
      </w:pPr>
      <w:r>
        <w:t>Tank location page (/reports/tank_location → report_tank_location.html)</w:t>
      </w:r>
    </w:p>
    <w:p>
      <w:pPr>
        <w:spacing w:after="80"/>
      </w:pPr>
      <w:r>
        <w:t>KPI strip showing production in primary unit (Ltr), secondary pcs/kg. Rejection shown in kg with secondary rej_pcs/rej_ltr detail and a "kg basis" tooltip. Used for VN and WB; KH redirects to /?plant=TANK.</w:t>
      </w:r>
    </w:p>
    <w:p>
      <w:pPr>
        <w:pStyle w:val="Heading2"/>
        <w:spacing w:before="240" w:after="80"/>
      </w:pPr>
      <w:r>
        <w:t>Charts &amp; XSS protection</w:t>
      </w:r>
    </w:p>
    <w:p>
      <w:pPr>
        <w:spacing w:after="80"/>
      </w:pPr>
      <w:r>
        <w:t>Chart.js bar charts and line charts. Data is passed from Flask to templates as _safe_json(...) — a custom serialiser in app.py that escapes &lt;, &gt;, &amp;, \u2028, \u2029 to prevent Google Sheet content from injecting markup into the &lt;script&gt; block.</w:t>
      </w:r>
    </w:p>
    <w:p>
      <w:pPr>
        <w:pStyle w:val="Heading2"/>
        <w:spacing w:before="240" w:after="80"/>
      </w:pPr>
      <w:r>
        <w:t>Export formats</w:t>
      </w:r>
    </w:p>
    <w:p>
      <w:pPr>
        <w:pStyle w:val="ListBullet"/>
        <w:spacing w:after="40"/>
        <w:ind w:left="360"/>
      </w:pPr>
      <w:r>
        <w:t>Per-report .xlsx download (recomputed values via reports/generators.py, no live formulas).</w:t>
      </w:r>
    </w:p>
    <w:p>
      <w:pPr>
        <w:pStyle w:val="ListBullet"/>
        <w:spacing w:after="40"/>
        <w:ind w:left="360"/>
      </w:pPr>
      <w:r>
        <w:t>ZIP of all reports (POST /management-reports/zip).</w:t>
      </w:r>
    </w:p>
    <w:p>
      <w:pPr>
        <w:pStyle w:val="ListBullet"/>
        <w:spacing w:after="40"/>
        <w:ind w:left="360"/>
      </w:pPr>
      <w:r>
        <w:t>PDF via ReportLab (GET /export-pdf/&lt;id&gt;).</w:t>
      </w:r>
    </w:p>
    <w:p>
      <w:pPr>
        <w:pStyle w:val="ListBullet"/>
        <w:spacing w:after="40"/>
        <w:ind w:left="360"/>
      </w:pPr>
      <w:r>
        <w:t>AI-analytical PDF (GET /export-ai-pdf/&lt;id&gt;).</w:t>
      </w:r>
    </w:p>
    <w:p>
      <w:pPr>
        <w:pStyle w:val="Heading1"/>
        <w:spacing w:before="360" w:after="120"/>
      </w:pPr>
      <w:r>
        <w:t>8. AI / Narrative</w:t>
      </w:r>
    </w:p>
    <w:p>
      <w:pPr>
        <w:pStyle w:val="Heading2"/>
        <w:spacing w:before="240" w:after="80"/>
      </w:pPr>
      <w:r>
        <w:t>Module: narrative.py</w:t>
      </w:r>
    </w:p>
    <w:p>
      <w:pPr>
        <w:pStyle w:val="Heading2"/>
        <w:spacing w:before="240" w:after="80"/>
      </w:pPr>
      <w:r>
        <w:t>What Claude does — and does not do</w:t>
      </w:r>
    </w:p>
    <w:p>
      <w:pPr>
        <w:spacing w:after="80"/>
      </w:pPr>
      <w:r>
        <w:t>Claude is used ONLY to write narrative prose from already-computed numbers. It never sees raw sheet data, never receives a cell value, and never computes a figure. The contract is structural: get_narrative() and generate_ai_report() receive a metrics_summary dict of pre-computed strings (e.g. "OEE": "72.4%") and a list of pre-computed tier-issue strings — not Records, not raw rows.</w:t>
      </w:r>
    </w:p>
    <w:p>
      <w:pPr>
        <w:pStyle w:val="Heading2"/>
        <w:spacing w:before="240" w:after="80"/>
      </w:pPr>
      <w:r>
        <w:t>Where Claude is called</w:t>
      </w:r>
    </w:p>
    <w:tbl>
      <w:tblPr>
        <w:tblStyle w:val="TableGrid"/>
        <w:tblW w:type="auto" w:w="0"/>
        <w:tblLook w:firstColumn="1" w:firstRow="1" w:lastColumn="0" w:lastRow="0" w:noHBand="0" w:noVBand="1" w:val="04A0"/>
      </w:tblPr>
      <w:tblGrid>
        <w:gridCol w:w="3024"/>
        <w:gridCol w:w="3024"/>
        <w:gridCol w:w="3024"/>
      </w:tblGrid>
      <w:tr>
        <w:tc>
          <w:tcPr>
            <w:tcW w:type="dxa" w:w="2160"/>
            <w:shd w:val="clear" w:color="auto" w:fill="1F3864"/>
          </w:tcPr>
          <w:p>
            <w:r>
              <w:rPr>
                <w:b/>
                <w:color w:val="FFFFFF"/>
                <w:sz w:val="18"/>
              </w:rPr>
              <w:t>Call site</w:t>
            </w:r>
          </w:p>
        </w:tc>
        <w:tc>
          <w:tcPr>
            <w:tcW w:type="dxa" w:w="2592"/>
            <w:shd w:val="clear" w:color="auto" w:fill="1F3864"/>
          </w:tcPr>
          <w:p>
            <w:r>
              <w:rPr>
                <w:b/>
                <w:color w:val="FFFFFF"/>
                <w:sz w:val="18"/>
              </w:rPr>
              <w:t>Function</w:t>
            </w:r>
          </w:p>
        </w:tc>
        <w:tc>
          <w:tcPr>
            <w:tcW w:type="dxa" w:w="4320"/>
            <w:shd w:val="clear" w:color="auto" w:fill="1F3864"/>
          </w:tcPr>
          <w:p>
            <w:r>
              <w:rPr>
                <w:b/>
                <w:color w:val="FFFFFF"/>
                <w:sz w:val="18"/>
              </w:rPr>
              <w:t>What it writes</w:t>
            </w:r>
          </w:p>
        </w:tc>
      </w:tr>
      <w:tr>
        <w:tc>
          <w:tcPr>
            <w:tcW w:type="dxa" w:w="2160"/>
            <w:shd w:val="clear" w:color="auto" w:fill="FFFFFF"/>
          </w:tcPr>
          <w:p>
            <w:r>
              <w:rPr>
                <w:sz w:val="18"/>
              </w:rPr>
              <w:t>Overview page (/)</w:t>
            </w:r>
          </w:p>
        </w:tc>
        <w:tc>
          <w:tcPr>
            <w:tcW w:type="dxa" w:w="2592"/>
            <w:shd w:val="clear" w:color="auto" w:fill="FFFFFF"/>
          </w:tcPr>
          <w:p>
            <w:r>
              <w:rPr>
                <w:sz w:val="18"/>
              </w:rPr>
              <w:t>get_narrative()</w:t>
            </w:r>
          </w:p>
        </w:tc>
        <w:tc>
          <w:tcPr>
            <w:tcW w:type="dxa" w:w="4320"/>
            <w:shd w:val="clear" w:color="auto" w:fill="FFFFFF"/>
          </w:tcPr>
          <w:p>
            <w:r>
              <w:rPr>
                <w:sz w:val="18"/>
              </w:rPr>
              <w:t>1-2 paragraph operational summary</w:t>
            </w:r>
          </w:p>
        </w:tc>
      </w:tr>
      <w:tr>
        <w:tc>
          <w:tcPr>
            <w:tcW w:type="dxa" w:w="2160"/>
            <w:shd w:val="clear" w:color="auto" w:fill="EEF2F7"/>
          </w:tcPr>
          <w:p>
            <w:r>
              <w:rPr>
                <w:sz w:val="18"/>
              </w:rPr>
              <w:t>Report pages (async)</w:t>
            </w:r>
          </w:p>
        </w:tc>
        <w:tc>
          <w:tcPr>
            <w:tcW w:type="dxa" w:w="2592"/>
            <w:shd w:val="clear" w:color="auto" w:fill="EEF2F7"/>
          </w:tcPr>
          <w:p>
            <w:r>
              <w:rPr>
                <w:sz w:val="18"/>
              </w:rPr>
              <w:t>generate_ai_report()</w:t>
            </w:r>
          </w:p>
        </w:tc>
        <w:tc>
          <w:tcPr>
            <w:tcW w:type="dxa" w:w="4320"/>
            <w:shd w:val="clear" w:color="auto" w:fill="EEF2F7"/>
          </w:tcPr>
          <w:p>
            <w:r>
              <w:rPr>
                <w:sz w:val="18"/>
              </w:rPr>
              <w:t>Structured analytical report split into sections by parse_ai_report_sections()</w:t>
            </w:r>
          </w:p>
        </w:tc>
      </w:tr>
      <w:tr>
        <w:tc>
          <w:tcPr>
            <w:tcW w:type="dxa" w:w="2160"/>
            <w:shd w:val="clear" w:color="auto" w:fill="FFFFFF"/>
          </w:tcPr>
          <w:p>
            <w:r>
              <w:rPr>
                <w:sz w:val="18"/>
              </w:rPr>
              <w:t>Confirmation page</w:t>
            </w:r>
          </w:p>
        </w:tc>
        <w:tc>
          <w:tcPr>
            <w:tcW w:type="dxa" w:w="2592"/>
            <w:shd w:val="clear" w:color="auto" w:fill="FFFFFF"/>
          </w:tcPr>
          <w:p>
            <w:r>
              <w:rPr>
                <w:sz w:val="18"/>
              </w:rPr>
              <w:t>claude_sanity_check()</w:t>
            </w:r>
          </w:p>
        </w:tc>
        <w:tc>
          <w:tcPr>
            <w:tcW w:type="dxa" w:w="4320"/>
            <w:shd w:val="clear" w:color="auto" w:fill="FFFFFF"/>
          </w:tcPr>
          <w:p>
            <w:r>
              <w:rPr>
                <w:sz w:val="18"/>
              </w:rPr>
              <w:t>Sanity check narrative on pre-computed tier issues</w:t>
            </w:r>
          </w:p>
        </w:tc>
      </w:tr>
      <w:tr>
        <w:tc>
          <w:tcPr>
            <w:tcW w:type="dxa" w:w="2160"/>
            <w:shd w:val="clear" w:color="auto" w:fill="EEF2F7"/>
          </w:tcPr>
          <w:p>
            <w:r>
              <w:rPr>
                <w:sz w:val="18"/>
              </w:rPr>
              <w:t>Confirmation page</w:t>
            </w:r>
          </w:p>
        </w:tc>
        <w:tc>
          <w:tcPr>
            <w:tcW w:type="dxa" w:w="2592"/>
            <w:shd w:val="clear" w:color="auto" w:fill="EEF2F7"/>
          </w:tcPr>
          <w:p>
            <w:r>
              <w:rPr>
                <w:sz w:val="18"/>
              </w:rPr>
              <w:t>summarize_confirmation()</w:t>
            </w:r>
          </w:p>
        </w:tc>
        <w:tc>
          <w:tcPr>
            <w:tcW w:type="dxa" w:w="4320"/>
            <w:shd w:val="clear" w:color="auto" w:fill="EEF2F7"/>
          </w:tcPr>
          <w:p>
            <w:r>
              <w:rPr>
                <w:sz w:val="18"/>
              </w:rPr>
              <w:t>Plain-English summary of confirmation status</w:t>
            </w:r>
          </w:p>
        </w:tc>
      </w:tr>
      <w:tr>
        <w:tc>
          <w:tcPr>
            <w:tcW w:type="dxa" w:w="2160"/>
            <w:shd w:val="clear" w:color="auto" w:fill="FFFFFF"/>
          </w:tcPr>
          <w:p>
            <w:r>
              <w:rPr>
                <w:sz w:val="18"/>
              </w:rPr>
              <w:t>Manifest page</w:t>
            </w:r>
          </w:p>
        </w:tc>
        <w:tc>
          <w:tcPr>
            <w:tcW w:type="dxa" w:w="2592"/>
            <w:shd w:val="clear" w:color="auto" w:fill="FFFFFF"/>
          </w:tcPr>
          <w:p>
            <w:r>
              <w:rPr>
                <w:sz w:val="18"/>
              </w:rPr>
              <w:t>advisory_review()</w:t>
            </w:r>
          </w:p>
        </w:tc>
        <w:tc>
          <w:tcPr>
            <w:tcW w:type="dxa" w:w="4320"/>
            <w:shd w:val="clear" w:color="auto" w:fill="FFFFFF"/>
          </w:tcPr>
          <w:p>
            <w:r>
              <w:rPr>
                <w:sz w:val="18"/>
              </w:rPr>
              <w:t>Advisory on coverage gaps and schema flags</w:t>
            </w:r>
          </w:p>
        </w:tc>
      </w:tr>
      <w:tr>
        <w:tc>
          <w:tcPr>
            <w:tcW w:type="dxa" w:w="2160"/>
            <w:shd w:val="clear" w:color="auto" w:fill="EEF2F7"/>
          </w:tcPr>
          <w:p>
            <w:r>
              <w:rPr>
                <w:sz w:val="18"/>
              </w:rPr>
              <w:t>Code matching</w:t>
            </w:r>
          </w:p>
        </w:tc>
        <w:tc>
          <w:tcPr>
            <w:tcW w:type="dxa" w:w="2592"/>
            <w:shd w:val="clear" w:color="auto" w:fill="EEF2F7"/>
          </w:tcPr>
          <w:p>
            <w:r>
              <w:rPr>
                <w:sz w:val="18"/>
              </w:rPr>
              <w:t>match_codes()</w:t>
            </w:r>
          </w:p>
        </w:tc>
        <w:tc>
          <w:tcPr>
            <w:tcW w:type="dxa" w:w="4320"/>
            <w:shd w:val="clear" w:color="auto" w:fill="EEF2F7"/>
          </w:tcPr>
          <w:p>
            <w:r>
              <w:rPr>
                <w:sz w:val="18"/>
              </w:rPr>
              <w:t>Fuzzy machine-code matching (never reads a figure)</w:t>
            </w:r>
          </w:p>
        </w:tc>
      </w:tr>
    </w:tbl>
    <w:p/>
    <w:p>
      <w:pPr>
        <w:pStyle w:val="Heading2"/>
        <w:spacing w:before="240" w:after="80"/>
      </w:pPr>
      <w:r>
        <w:t>Model tiering (narrative.select_model())</w:t>
      </w:r>
    </w:p>
    <w:p>
      <w:pPr>
        <w:pStyle w:val="ListBullet"/>
        <w:spacing w:after="40"/>
        <w:ind w:left="360"/>
      </w:pPr>
      <w:r>
        <w:t>Fast tier (claude-sonnet-4-6, 1,500 tokens): daily/weekly/sub-monthly periods — frequent, low-stakes.</w:t>
      </w:r>
    </w:p>
    <w:p>
      <w:pPr>
        <w:pStyle w:val="ListBullet"/>
        <w:spacing w:after="40"/>
        <w:ind w:left="360"/>
      </w:pPr>
      <w:r>
        <w:t>Deep tier (claude-opus-4-8, 4,000 tokens): monthly, quarterly, FY periods — infrequent, high-stakes reviews.</w:t>
      </w:r>
    </w:p>
    <w:p>
      <w:pPr>
        <w:pStyle w:val="ListBullet"/>
        <w:spacing w:after="40"/>
        <w:ind w:left="360"/>
      </w:pPr>
      <w:r>
        <w:t>?deep=on forces deep tier; ?deep=off forces fast. Model names come from env vars (ANTHROPIC_MODEL_FAST, ANTHROPIC_MODEL_DEEP) so they can change without code edits.</w:t>
      </w:r>
    </w:p>
    <w:p>
      <w:pPr>
        <w:pStyle w:val="Heading2"/>
        <w:spacing w:before="240" w:after="80"/>
      </w:pPr>
      <w:r>
        <w:t>Cache</w:t>
      </w:r>
    </w:p>
    <w:p>
      <w:pPr>
        <w:spacing w:after="80"/>
      </w:pPr>
      <w:r>
        <w:t>In-process _cache dict. The cache key MUST include both the period key/fingerprint AND the resolved model — a known past bug had caches that omitted the model, causing a fast-tier result to be served when a deep-tier result was later requested for the same data state. _actual_model records the model that actually wrote each entry (after any deep→fast fallback) so provenance shown to the user is honest.</w:t>
      </w:r>
    </w:p>
    <w:p>
      <w:pPr>
        <w:pStyle w:val="Heading2"/>
        <w:spacing w:before="240" w:after="80"/>
      </w:pPr>
      <w:r>
        <w:t>Sign-off gate</w:t>
      </w:r>
    </w:p>
    <w:p>
      <w:pPr>
        <w:spacing w:after="80"/>
      </w:pPr>
      <w:r>
        <w:t>_do_signoff() in app.py checks that the Claude sanity check has been run (keyed by fingerprint + resolved model) before allowing a manager to approve. It is mandatory when ANTHROPIC_API_KEY is set.</w:t>
      </w:r>
    </w:p>
    <w:p>
      <w:pPr>
        <w:pStyle w:val="Heading1"/>
        <w:spacing w:before="360" w:after="120"/>
      </w:pPr>
      <w:r>
        <w:t>9. Known Gaps / TODOs / Broken Tests</w:t>
      </w:r>
    </w:p>
    <w:p>
      <w:pPr>
        <w:pStyle w:val="Heading2"/>
        <w:spacing w:before="240" w:after="80"/>
      </w:pPr>
      <w:r>
        <w:t>CP Fittings — no daily files wired</w:t>
      </w:r>
    </w:p>
    <w:p>
      <w:pPr>
        <w:spacing w:after="80"/>
      </w:pPr>
      <w:r>
        <w:t>DAILY_SOURCES["CP"] is wired with an empty files dict — no monthly workbooks have been added yet. CP shows as "awaiting" in Data Health. Everything is ready; it will work once file IDs are registered in sources.py.</w:t>
      </w:r>
    </w:p>
    <w:p>
      <w:pPr>
        <w:pStyle w:val="Heading2"/>
        <w:spacing w:before="240" w:after="80"/>
      </w:pPr>
      <w:r>
        <w:t>TANK_VN / TANK_WB — runhours_tracked flag incorrect</w:t>
      </w:r>
    </w:p>
    <w:p>
      <w:pPr>
        <w:spacing w:after="80"/>
      </w:pPr>
      <w:r>
        <w:t>The PLANTS_WITHOUT_RUNHOURS frozenset in sheets.py contains only "TANK". TANK_VN and TANK_WB are output-only (no run-hours columns) but are not in that set, so they get runhours_tracked=True on their Records. In practice, because these plants also have no ideal_hours baseline, util_available ends up False and utilisation is not shown — but the underlying flag is wrong. Correct fix: add "TANK_VN" and "TANK_WB" to PLANTS_WITHOUT_RUNHOURS.</w:t>
      </w:r>
    </w:p>
    <w:p>
      <w:pPr>
        <w:pStyle w:val="Heading2"/>
        <w:spacing w:before="240" w:after="80"/>
      </w:pPr>
      <w:r>
        <w:t>TANK_WB daily scope is thin</w:t>
      </w:r>
    </w:p>
    <w:p>
      <w:pPr>
        <w:spacing w:after="80"/>
      </w:pPr>
      <w:r>
        <w:t>Only July 2026 is wired in DAILY_SOURCES["TANK_WB"]. Prior months fall back to the annual summary sheet. TANK_VN has June + July.</w:t>
      </w:r>
    </w:p>
    <w:p>
      <w:pPr>
        <w:pStyle w:val="Heading2"/>
        <w:spacing w:before="240" w:after="80"/>
      </w:pPr>
      <w:r>
        <w:t>Prior-FY sources for GARDEN and HDPE not wired</w:t>
      </w:r>
    </w:p>
    <w:p>
      <w:pPr>
        <w:spacing w:after="80"/>
      </w:pPr>
      <w:r>
        <w:t>ANNUAL_SOURCES only registers the 26-27 summary grids for GARDEN and HDPE. No prior-year (25-26) daily files are wired for those plants. Prior-year PIPE and MOULDING data is covered by the 25-26 daily PIPE workbooks in DAILY_SOURCES["PIPE"].</w:t>
      </w:r>
    </w:p>
    <w:p>
      <w:pPr>
        <w:pStyle w:val="Heading2"/>
        <w:spacing w:before="240" w:after="80"/>
      </w:pPr>
      <w:r>
        <w:t>Management Reports oracle test (test_report_export_june_oracle.py)</w:t>
      </w:r>
    </w:p>
    <w:p>
      <w:pPr>
        <w:spacing w:after="80"/>
      </w:pPr>
      <w:r>
        <w:t>The test pins Pipe output to 168,738 rather than the original acceptance target of 170,216. The test's own comment documents this as an intentional post-backfill re-baseline. This makes the oracle stale as a gate for the pre-backfill figure; the test and the acceptance target are no longer aligned.</w:t>
      </w:r>
    </w:p>
    <w:p>
      <w:pPr>
        <w:pStyle w:val="Heading2"/>
        <w:spacing w:before="240" w:after="80"/>
      </w:pPr>
      <w:r>
        <w:t>Pipe Moulds export path vs UI path</w:t>
      </w:r>
    </w:p>
    <w:p>
      <w:pPr>
        <w:spacing w:after="80"/>
      </w:pPr>
      <w:r>
        <w:t>The /reports/pipe_moulds UI page reads Reports 17-20 correctly via sheets.load_pipe_moulds. The management-report export generator for pipe_moulds in reports/generators.py was documented as rebuilding from Report-12 rather than Reports 17-20. These two paths are not unified on the same source, which is a correctness gap in the export.</w:t>
      </w:r>
    </w:p>
    <w:p>
      <w:pPr>
        <w:pStyle w:val="Heading2"/>
        <w:spacing w:before="240" w:after="80"/>
      </w:pPr>
      <w:r>
        <w:t>Management Reports UX — not all 14 reports have interactive pages</w:t>
      </w:r>
    </w:p>
    <w:p>
      <w:pPr>
        <w:spacing w:after="80"/>
      </w:pPr>
      <w:r>
        <w:t>The /management-reports page currently serves primarily as a download index for per-report XLSXs and a ZIP. The original spec called for each of the 14 management reports to have its own interactive in-app page (table + recon badge + provenance footer + narrative + PDF). Not all 14 have dedicated report pages.</w:t>
      </w:r>
    </w:p>
    <w:p>
      <w:pPr>
        <w:pStyle w:val="Heading2"/>
        <w:spacing w:before="240" w:after="80"/>
      </w:pPr>
      <w:r>
        <w:t>/build-state gate is manual</w:t>
      </w:r>
    </w:p>
    <w:p>
      <w:pPr>
        <w:spacing w:after="80"/>
      </w:pPr>
      <w:r>
        <w:t>The live spec-acceptance route at /build-state runs 17+ assertions but is not checked automatically before deployment. Some assertions are _skip()-ed when sheet throttling (HTTP 429) prevents a live read. It is documented as "all must PASS before sign-off" but is not enforced by the workflow.</w:t>
      </w:r>
    </w:p>
    <w:p>
      <w:pPr>
        <w:pStyle w:val="Heading2"/>
        <w:spacing w:before="240" w:after="80"/>
      </w:pPr>
      <w:r>
        <w:t>No automated regression test for Tank rejection</w:t>
      </w:r>
    </w:p>
    <w:p>
      <w:pPr>
        <w:spacing w:after="80"/>
      </w:pPr>
      <w:r>
        <w:t>The Tank rejection fix (reject_unit="kg" independent of production unit, reject_denominator=prod_kg) is verified by a manually-run Python snippet. There is no pytest fixture that guards against regression.</w:t>
      </w:r>
    </w:p>
    <w:p>
      <w:pPr>
        <w:pStyle w:val="Heading2"/>
        <w:spacing w:before="240" w:after="80"/>
      </w:pPr>
      <w:r>
        <w:t>EMPTY_SOURCES is minimal</w:t>
      </w:r>
    </w:p>
    <w:p>
      <w:pPr>
        <w:spacing w:after="80"/>
      </w:pPr>
      <w:r>
        <w:t>Only ("PIPE", "2025-08") is listed. Other months with all-zero data are detected at runtime by the idle-detector (which yields no Records for a genuinely all-zero workbook), but they are not pre-listed, so they go through a full Sheets API read on every cold start.</w:t>
      </w:r>
    </w:p>
    <w:p>
      <w:pPr>
        <w:pStyle w:val="Heading2"/>
        <w:spacing w:before="240" w:after="80"/>
      </w:pPr>
      <w:r>
        <w:t>Background refresh only helps on Reserved VM</w:t>
      </w:r>
    </w:p>
    <w:p>
      <w:pPr>
        <w:spacing w:after="80"/>
      </w:pPr>
      <w:r>
        <w:t>sheets.py has a 10-minute background refresh thread. On an autoscaling deployment where the process is killed and restarted, this thread dies and does not persist across restarts. Every cold start is a full L3 read for all plants.</w:t>
      </w:r>
    </w:p>
    <w:p>
      <w:pPr>
        <w:pStyle w:val="Heading2"/>
        <w:spacing w:before="240" w:after="80"/>
      </w:pPr>
      <w:r>
        <w:t>Reloader permanently off</w:t>
      </w:r>
    </w:p>
    <w:p>
      <w:pPr>
        <w:spacing w:after="80"/>
      </w:pPr>
      <w:r>
        <w:t>app.py runs with debug=False and reloader off. Every code change requires a manual workflow restart (restart_workflow "artifacts/prayag-web: web"). This is correct for the production gunicorn target but adds friction in development.</w:t>
      </w:r>
    </w:p>
    <w:p>
      <w:pPr>
        <w:pStyle w:val="Heading2"/>
        <w:spacing w:before="240" w:after="80"/>
      </w:pPr>
      <w:r>
        <w:t>TRUNCATE source_fingerprints needed after fingerprint formula change</w:t>
      </w:r>
    </w:p>
    <w:p>
      <w:pPr>
        <w:spacing w:after="80"/>
      </w:pPr>
      <w:r>
        <w:t>The content-hash fingerprints in source_fingerprints must be cross-process deterministic (sorted canonical lines, int/float normalised). Any change to the fingerprint formula invalidates all stored baselines and causes every workbook to false-flag as changed until manually re-baselined with TRUNCATE source_fingerprints.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C55A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