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PB10.0 — Plumbing September Planning</w:t>
      </w:r>
    </w:p>
    <w:p>
      <w:pPr>
        <w:jc w:val="center"/>
      </w:pPr>
      <w:r>
        <w:rPr>
          <w:b/>
          <w:color w:val="1F4E79"/>
          <w:sz w:val="24"/>
        </w:rPr>
        <w:t>Read-only findings and source-selection review</w:t>
      </w:r>
    </w:p>
    <w:p>
      <w:pPr>
        <w:jc w:val="center"/>
      </w:pPr>
      <w:r>
        <w:rPr>
          <w:i/>
        </w:rPr>
        <w:t>Prepared 8 September 2026</w:t>
      </w:r>
    </w:p>
    <w:tbl>
      <w:tblPr>
        <w:tblStyle w:val="TableGrid"/>
        <w:tblW w:type="auto" w:w="0"/>
        <w:tblLook w:firstColumn="1" w:firstRow="1" w:lastColumn="0" w:lastRow="0" w:noHBand="0" w:noVBand="1" w:val="04A0"/>
      </w:tblPr>
      <w:tblGrid>
        <w:gridCol w:w="10080"/>
      </w:tblGrid>
      <w:tr>
        <w:tc>
          <w:tcPr>
            <w:tcW w:type="dxa" w:w="10080"/>
            <w:shd w:fill="FFF2CC"/>
            <w:vAlign w:val="center"/>
          </w:tcPr>
          <w:p>
            <w:pPr>
              <w:spacing w:after="0"/>
            </w:pPr>
            <w:r/>
            <w:r>
              <w:rPr>
                <w:rFonts w:ascii="Aptos" w:hAnsi="Aptos" w:eastAsia="Aptos"/>
                <w:b/>
                <w:sz w:val="18"/>
              </w:rPr>
              <w:t>Scope boundary: PB10.0 only. No file was uploaded, no recompute or validation endpoint was run, no override or reviewed policy was changed, and replit.md was not edited because the attached query requires explicit approval for implementation changes.</w:t>
            </w:r>
          </w:p>
        </w:tc>
      </w:tr>
    </w:tbl>
    <w:p>
      <w:pPr>
        <w:pStyle w:val="Heading1"/>
      </w:pPr>
      <w:r>
        <w:t>1. Executive summary</w:t>
      </w:r>
    </w:p>
    <w:p>
      <w:r>
        <w:t>The current code separates two behaviors for Plumbing dummy stock / pending-last-month:</w:t>
      </w:r>
    </w:p>
    <w:p>
      <w:pPr>
        <w:pStyle w:val="ListBullet"/>
      </w:pPr>
      <w:r>
        <w:t>A live rebuild rereads the month-matching plumbing_fg_stock upload and converts negative Net Stock into pendingLastMonth.</w:t>
      </w:r>
    </w:p>
    <w:p>
      <w:pPr>
        <w:pStyle w:val="ListBullet"/>
      </w:pPr>
      <w:r>
        <w:t>A corrective run pinned to a finalized plan run carries pendingLastMonth from the frozen plan_run_inputs rows and does not rebuild that baseline from the upload.</w:t>
      </w:r>
    </w:p>
    <w:p>
      <w:r>
        <w:t>The September FG file named for August will resolve to planning month 2026-09 under the new content/filename period logic. Current upload #13 resolves to 2026-08, so it is not a September candidate.</w:t>
      </w:r>
    </w:p>
    <w:p>
      <w:r>
        <w:t>The stock ceilings explicitly document rounded headroom above observed exclusions. The pending ceilings record reviewed source/roster boundaries, but do not document a separate headroom method.</w:t>
      </w:r>
    </w:p>
    <w:p>
      <w:pPr>
        <w:pStyle w:val="Heading1"/>
      </w:pPr>
      <w:r>
        <w:t>2. PB10.0.1 — Ceiling provenance</w:t>
      </w:r>
    </w:p>
    <w:p>
      <w:pPr>
        <w:pStyle w:val="Heading2"/>
      </w:pPr>
      <w:r>
        <w:t>2.1 Stock ceilings</w:t>
      </w:r>
    </w:p>
    <w:p>
      <w:r>
        <w:t>The reasoning is recorded in REVIEWED_STOCK_EXCLUSION_POLICY in artifacts/api-server/src/routes/plan.ts:537-559.</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vAlign w:val="center"/>
            <w:shd w:fill="1F4E79"/>
          </w:tcPr>
          <w:p>
            <w:pPr>
              <w:spacing w:after="0"/>
            </w:pPr>
            <w:r/>
            <w:r>
              <w:rPr>
                <w:rFonts w:ascii="Aptos" w:hAnsi="Aptos" w:eastAsia="Aptos"/>
                <w:b/>
                <w:color w:val="FFFFFF"/>
                <w:sz w:val="18"/>
              </w:rPr>
              <w:t>Planning month</w:t>
            </w:r>
          </w:p>
        </w:tc>
        <w:tc>
          <w:tcPr>
            <w:tcW w:type="dxa" w:w="1944"/>
            <w:vAlign w:val="center"/>
            <w:shd w:fill="1F4E79"/>
          </w:tcPr>
          <w:p>
            <w:pPr>
              <w:spacing w:after="0"/>
            </w:pPr>
            <w:r/>
            <w:r>
              <w:rPr>
                <w:rFonts w:ascii="Aptos" w:hAnsi="Aptos" w:eastAsia="Aptos"/>
                <w:b/>
                <w:color w:val="FFFFFF"/>
                <w:sz w:val="18"/>
              </w:rPr>
              <w:t>Observed unmatched stock</w:t>
            </w:r>
          </w:p>
        </w:tc>
        <w:tc>
          <w:tcPr>
            <w:tcW w:type="dxa" w:w="1152"/>
            <w:vAlign w:val="center"/>
            <w:shd w:fill="1F4E79"/>
          </w:tcPr>
          <w:p>
            <w:pPr>
              <w:spacing w:after="0"/>
            </w:pPr>
            <w:r/>
            <w:r>
              <w:rPr>
                <w:rFonts w:ascii="Aptos" w:hAnsi="Aptos" w:eastAsia="Aptos"/>
                <w:b/>
                <w:color w:val="FFFFFF"/>
                <w:sz w:val="18"/>
              </w:rPr>
              <w:t>Ceiling</w:t>
            </w:r>
          </w:p>
        </w:tc>
        <w:tc>
          <w:tcPr>
            <w:tcW w:type="dxa" w:w="1152"/>
            <w:vAlign w:val="center"/>
            <w:shd w:fill="1F4E79"/>
          </w:tcPr>
          <w:p>
            <w:pPr>
              <w:spacing w:after="0"/>
            </w:pPr>
            <w:r/>
            <w:r>
              <w:rPr>
                <w:rFonts w:ascii="Aptos" w:hAnsi="Aptos" w:eastAsia="Aptos"/>
                <w:b/>
                <w:color w:val="FFFFFF"/>
                <w:sz w:val="18"/>
              </w:rPr>
              <w:t>Headroom</w:t>
            </w:r>
          </w:p>
        </w:tc>
        <w:tc>
          <w:tcPr>
            <w:tcW w:type="dxa" w:w="3312"/>
            <w:vAlign w:val="center"/>
            <w:shd w:fill="1F4E79"/>
          </w:tcPr>
          <w:p>
            <w:pPr>
              <w:spacing w:after="0"/>
            </w:pPr>
            <w:r/>
            <w:r>
              <w:rPr>
                <w:rFonts w:ascii="Aptos" w:hAnsi="Aptos" w:eastAsia="Aptos"/>
                <w:b/>
                <w:color w:val="FFFFFF"/>
                <w:sz w:val="18"/>
              </w:rPr>
              <w:t>Recorded method</w:t>
            </w:r>
          </w:p>
        </w:tc>
      </w:tr>
      <w:tr>
        <w:tc>
          <w:tcPr>
            <w:tcW w:type="dxa" w:w="1584"/>
            <w:vAlign w:val="center"/>
            <w:shd w:fill="F2F6FA"/>
          </w:tcPr>
          <w:p>
            <w:pPr>
              <w:spacing w:after="0"/>
            </w:pPr>
            <w:r/>
            <w:r>
              <w:rPr>
                <w:rFonts w:ascii="Aptos" w:hAnsi="Aptos" w:eastAsia="Aptos"/>
                <w:b w:val="0"/>
                <w:sz w:val="18"/>
              </w:rPr>
              <w:t>July 2026</w:t>
            </w:r>
          </w:p>
        </w:tc>
        <w:tc>
          <w:tcPr>
            <w:tcW w:type="dxa" w:w="1944"/>
            <w:vAlign w:val="center"/>
            <w:shd w:fill="F2F6FA"/>
          </w:tcPr>
          <w:p>
            <w:pPr>
              <w:spacing w:after="0"/>
            </w:pPr>
            <w:r/>
            <w:r>
              <w:rPr>
                <w:rFonts w:ascii="Aptos" w:hAnsi="Aptos" w:eastAsia="Aptos"/>
                <w:b w:val="0"/>
                <w:sz w:val="18"/>
              </w:rPr>
              <w:t>101,988</w:t>
            </w:r>
          </w:p>
        </w:tc>
        <w:tc>
          <w:tcPr>
            <w:tcW w:type="dxa" w:w="1152"/>
            <w:vAlign w:val="center"/>
            <w:shd w:fill="F2F6FA"/>
          </w:tcPr>
          <w:p>
            <w:pPr>
              <w:spacing w:after="0"/>
            </w:pPr>
            <w:r/>
            <w:r>
              <w:rPr>
                <w:rFonts w:ascii="Aptos" w:hAnsi="Aptos" w:eastAsia="Aptos"/>
                <w:b w:val="0"/>
                <w:sz w:val="18"/>
              </w:rPr>
              <w:t>115,000</w:t>
            </w:r>
          </w:p>
        </w:tc>
        <w:tc>
          <w:tcPr>
            <w:tcW w:type="dxa" w:w="1152"/>
            <w:vAlign w:val="center"/>
            <w:shd w:fill="F2F6FA"/>
          </w:tcPr>
          <w:p>
            <w:pPr>
              <w:spacing w:after="0"/>
            </w:pPr>
            <w:r/>
            <w:r>
              <w:rPr>
                <w:rFonts w:ascii="Aptos" w:hAnsi="Aptos" w:eastAsia="Aptos"/>
                <w:b w:val="0"/>
                <w:sz w:val="18"/>
              </w:rPr>
              <w:t>13,012</w:t>
            </w:r>
          </w:p>
        </w:tc>
        <w:tc>
          <w:tcPr>
            <w:tcW w:type="dxa" w:w="3312"/>
            <w:vAlign w:val="center"/>
            <w:shd w:fill="F2F6FA"/>
          </w:tcPr>
          <w:p>
            <w:pPr>
              <w:spacing w:after="0"/>
            </w:pPr>
            <w:r/>
            <w:r>
              <w:rPr>
                <w:rFonts w:ascii="Aptos" w:hAnsi="Aptos" w:eastAsia="Aptos"/>
                <w:b w:val="0"/>
                <w:sz w:val="18"/>
              </w:rPr>
              <w:t>Rounded headroom above observed quantity</w:t>
            </w:r>
          </w:p>
        </w:tc>
      </w:tr>
      <w:tr>
        <w:tc>
          <w:tcPr>
            <w:tcW w:type="dxa" w:w="1584"/>
            <w:vAlign w:val="center"/>
          </w:tcPr>
          <w:p>
            <w:pPr>
              <w:spacing w:after="0"/>
            </w:pPr>
            <w:r/>
            <w:r>
              <w:rPr>
                <w:rFonts w:ascii="Aptos" w:hAnsi="Aptos" w:eastAsia="Aptos"/>
                <w:b w:val="0"/>
                <w:sz w:val="18"/>
              </w:rPr>
              <w:t>August 2026</w:t>
            </w:r>
          </w:p>
        </w:tc>
        <w:tc>
          <w:tcPr>
            <w:tcW w:type="dxa" w:w="1944"/>
            <w:vAlign w:val="center"/>
          </w:tcPr>
          <w:p>
            <w:pPr>
              <w:spacing w:after="0"/>
            </w:pPr>
            <w:r/>
            <w:r>
              <w:rPr>
                <w:rFonts w:ascii="Aptos" w:hAnsi="Aptos" w:eastAsia="Aptos"/>
                <w:b w:val="0"/>
                <w:sz w:val="18"/>
              </w:rPr>
              <w:t>110,462</w:t>
            </w:r>
          </w:p>
        </w:tc>
        <w:tc>
          <w:tcPr>
            <w:tcW w:type="dxa" w:w="1152"/>
            <w:vAlign w:val="center"/>
          </w:tcPr>
          <w:p>
            <w:pPr>
              <w:spacing w:after="0"/>
            </w:pPr>
            <w:r/>
            <w:r>
              <w:rPr>
                <w:rFonts w:ascii="Aptos" w:hAnsi="Aptos" w:eastAsia="Aptos"/>
                <w:b w:val="0"/>
                <w:sz w:val="18"/>
              </w:rPr>
              <w:t>125,000</w:t>
            </w:r>
          </w:p>
        </w:tc>
        <w:tc>
          <w:tcPr>
            <w:tcW w:type="dxa" w:w="1152"/>
            <w:vAlign w:val="center"/>
          </w:tcPr>
          <w:p>
            <w:pPr>
              <w:spacing w:after="0"/>
            </w:pPr>
            <w:r/>
            <w:r>
              <w:rPr>
                <w:rFonts w:ascii="Aptos" w:hAnsi="Aptos" w:eastAsia="Aptos"/>
                <w:b w:val="0"/>
                <w:sz w:val="18"/>
              </w:rPr>
              <w:t>14,538</w:t>
            </w:r>
          </w:p>
        </w:tc>
        <w:tc>
          <w:tcPr>
            <w:tcW w:type="dxa" w:w="3312"/>
            <w:vAlign w:val="center"/>
          </w:tcPr>
          <w:p>
            <w:pPr>
              <w:spacing w:after="0"/>
            </w:pPr>
            <w:r/>
            <w:r>
              <w:rPr>
                <w:rFonts w:ascii="Aptos" w:hAnsi="Aptos" w:eastAsia="Aptos"/>
                <w:b w:val="0"/>
                <w:sz w:val="18"/>
              </w:rPr>
              <w:t>Rounded headroom above observed quantity</w:t>
            </w:r>
          </w:p>
        </w:tc>
      </w:tr>
    </w:tbl>
    <w:p>
      <w:pPr>
        <w:spacing w:after="40"/>
      </w:pPr>
    </w:p>
    <w:p>
      <w:r>
        <w:t>The policy also requires the exclusion fingerprint to remain unchanged. Therefore, the quantity ceiling is not the only control; a changed exclusion set requires review even when the quantity remains below the ceiling.</w:t>
      </w:r>
    </w:p>
    <w:p>
      <w:pPr>
        <w:pStyle w:val="Code"/>
        <w:spacing w:before="40" w:after="80"/>
        <w:ind w:left="360"/>
      </w:pPr>
      <w:r>
        <w:t>maxUnmatchedQuantity: 115_000</w:t>
        <w:br/>
        <w:t>reviewedFingerprint: "6701309d…baca93"</w:t>
        <w:br/>
        <w:t>rationale: "…ceiling=115000 provides rounded headroom, while a changed exclusion fingerprint requires review."</w:t>
      </w:r>
    </w:p>
    <w:p>
      <w:pPr>
        <w:pStyle w:val="Code"/>
        <w:spacing w:before="40" w:after="80"/>
        <w:ind w:left="360"/>
      </w:pPr>
      <w:r>
        <w:t>maxUnmatchedQuantity: 125_000</w:t>
        <w:br/>
        <w:t>reviewedFingerprint: "67d4e72d…437d"</w:t>
        <w:br/>
        <w:t>rationale: "…ceiling=125000 provides rounded headroom, while a changed exclusion fingerprint requires review."</w:t>
      </w:r>
    </w:p>
    <w:p>
      <w:pPr>
        <w:pStyle w:val="Heading2"/>
      </w:pPr>
      <w:r>
        <w:t>2.2 Pending ceilings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F4E79"/>
          </w:tcPr>
          <w:p>
            <w:pPr>
              <w:spacing w:after="0"/>
            </w:pPr>
            <w:r/>
            <w:r>
              <w:rPr>
                <w:rFonts w:ascii="Aptos" w:hAnsi="Aptos" w:eastAsia="Aptos"/>
                <w:b/>
                <w:color w:val="FFFFFF"/>
                <w:sz w:val="18"/>
              </w:rPr>
              <w:t>Policy</w:t>
            </w:r>
          </w:p>
        </w:tc>
        <w:tc>
          <w:tcPr>
            <w:tcW w:type="dxa" w:w="1080"/>
            <w:vAlign w:val="center"/>
            <w:shd w:fill="1F4E79"/>
          </w:tcPr>
          <w:p>
            <w:pPr>
              <w:spacing w:after="0"/>
            </w:pPr>
            <w:r/>
            <w:r>
              <w:rPr>
                <w:rFonts w:ascii="Aptos" w:hAnsi="Aptos" w:eastAsia="Aptos"/>
                <w:b/>
                <w:color w:val="FFFFFF"/>
                <w:sz w:val="18"/>
              </w:rPr>
              <w:t>Ceiling</w:t>
            </w:r>
          </w:p>
        </w:tc>
        <w:tc>
          <w:tcPr>
            <w:tcW w:type="dxa" w:w="3600"/>
            <w:vAlign w:val="center"/>
            <w:shd w:fill="1F4E79"/>
          </w:tcPr>
          <w:p>
            <w:pPr>
              <w:spacing w:after="0"/>
            </w:pPr>
            <w:r/>
            <w:r>
              <w:rPr>
                <w:rFonts w:ascii="Aptos" w:hAnsi="Aptos" w:eastAsia="Aptos"/>
                <w:b/>
                <w:color w:val="FFFFFF"/>
                <w:sz w:val="18"/>
              </w:rPr>
              <w:t>Recorded rationale</w:t>
            </w:r>
          </w:p>
        </w:tc>
        <w:tc>
          <w:tcPr>
            <w:tcW w:type="dxa" w:w="2880"/>
            <w:vAlign w:val="center"/>
            <w:shd w:fill="1F4E79"/>
          </w:tcPr>
          <w:p>
            <w:pPr>
              <w:spacing w:after="0"/>
            </w:pPr>
            <w:r/>
            <w:r>
              <w:rPr>
                <w:rFonts w:ascii="Aptos" w:hAnsi="Aptos" w:eastAsia="Aptos"/>
                <w:b/>
                <w:color w:val="FFFFFF"/>
                <w:sz w:val="18"/>
              </w:rPr>
              <w:t>Interpretation</w:t>
            </w:r>
          </w:p>
        </w:tc>
      </w:tr>
      <w:tr>
        <w:tc>
          <w:tcPr>
            <w:tcW w:type="dxa" w:w="2160"/>
            <w:vAlign w:val="center"/>
            <w:shd w:fill="F2F6FA"/>
          </w:tcPr>
          <w:p>
            <w:pPr>
              <w:spacing w:after="0"/>
            </w:pPr>
            <w:r/>
            <w:r>
              <w:rPr>
                <w:rFonts w:ascii="Aptos" w:hAnsi="Aptos" w:eastAsia="Aptos"/>
                <w:b w:val="0"/>
                <w:sz w:val="18"/>
              </w:rPr>
              <w:t>Plumbing:pending_current</w:t>
            </w:r>
          </w:p>
        </w:tc>
        <w:tc>
          <w:tcPr>
            <w:tcW w:type="dxa" w:w="1080"/>
            <w:vAlign w:val="center"/>
            <w:shd w:fill="F2F6FA"/>
          </w:tcPr>
          <w:p>
            <w:pPr>
              <w:spacing w:after="0"/>
            </w:pPr>
            <w:r/>
            <w:r>
              <w:rPr>
                <w:rFonts w:ascii="Aptos" w:hAnsi="Aptos" w:eastAsia="Aptos"/>
                <w:b w:val="0"/>
                <w:sz w:val="18"/>
              </w:rPr>
              <w:t>234</w:t>
            </w:r>
          </w:p>
        </w:tc>
        <w:tc>
          <w:tcPr>
            <w:tcW w:type="dxa" w:w="3600"/>
            <w:vAlign w:val="center"/>
            <w:shd w:fill="F2F6FA"/>
          </w:tcPr>
          <w:p>
            <w:pPr>
              <w:spacing w:after="0"/>
            </w:pPr>
            <w:r/>
            <w:r>
              <w:rPr>
                <w:rFonts w:ascii="Aptos" w:hAnsi="Aptos" w:eastAsia="Aptos"/>
                <w:b w:val="0"/>
                <w:sz w:val="18"/>
              </w:rPr>
              <w:t>August 2026 uploaded current-pending roster boundary</w:t>
            </w:r>
          </w:p>
        </w:tc>
        <w:tc>
          <w:tcPr>
            <w:tcW w:type="dxa" w:w="2880"/>
            <w:vAlign w:val="center"/>
            <w:shd w:fill="F2F6FA"/>
          </w:tcPr>
          <w:p>
            <w:pPr>
              <w:spacing w:after="0"/>
            </w:pPr>
            <w:r/>
            <w:r>
              <w:rPr>
                <w:rFonts w:ascii="Aptos" w:hAnsi="Aptos" w:eastAsia="Aptos"/>
                <w:b w:val="0"/>
                <w:sz w:val="18"/>
              </w:rPr>
              <w:t>Reviewed boundary; no separate headroom method recorded</w:t>
            </w:r>
          </w:p>
        </w:tc>
      </w:tr>
      <w:tr>
        <w:tc>
          <w:tcPr>
            <w:tcW w:type="dxa" w:w="2160"/>
            <w:vAlign w:val="center"/>
          </w:tcPr>
          <w:p>
            <w:pPr>
              <w:spacing w:after="0"/>
            </w:pPr>
            <w:r/>
            <w:r>
              <w:rPr>
                <w:rFonts w:ascii="Aptos" w:hAnsi="Aptos" w:eastAsia="Aptos"/>
                <w:b w:val="0"/>
                <w:sz w:val="18"/>
              </w:rPr>
              <w:t>Plumbing:pending_last_month</w:t>
            </w:r>
          </w:p>
        </w:tc>
        <w:tc>
          <w:tcPr>
            <w:tcW w:type="dxa" w:w="1080"/>
            <w:vAlign w:val="center"/>
          </w:tcPr>
          <w:p>
            <w:pPr>
              <w:spacing w:after="0"/>
            </w:pPr>
            <w:r/>
            <w:r>
              <w:rPr>
                <w:rFonts w:ascii="Aptos" w:hAnsi="Aptos" w:eastAsia="Aptos"/>
                <w:b w:val="0"/>
                <w:sz w:val="18"/>
              </w:rPr>
              <w:t>13,583</w:t>
            </w:r>
          </w:p>
        </w:tc>
        <w:tc>
          <w:tcPr>
            <w:tcW w:type="dxa" w:w="3600"/>
            <w:vAlign w:val="center"/>
          </w:tcPr>
          <w:p>
            <w:pPr>
              <w:spacing w:after="0"/>
            </w:pPr>
            <w:r/>
            <w:r>
              <w:rPr>
                <w:rFonts w:ascii="Aptos" w:hAnsi="Aptos" w:eastAsia="Aptos"/>
                <w:b w:val="0"/>
                <w:sz w:val="18"/>
              </w:rPr>
              <w:t>Approved predecessor/source boundary; upload #8 had source 544,544, joined 530,961, excluded 13,583</w:t>
            </w:r>
          </w:p>
        </w:tc>
        <w:tc>
          <w:tcPr>
            <w:tcW w:type="dxa" w:w="2880"/>
            <w:vAlign w:val="center"/>
          </w:tcPr>
          <w:p>
            <w:pPr>
              <w:spacing w:after="0"/>
            </w:pPr>
            <w:r/>
            <w:r>
              <w:rPr>
                <w:rFonts w:ascii="Aptos" w:hAnsi="Aptos" w:eastAsia="Aptos"/>
                <w:b w:val="0"/>
                <w:sz w:val="18"/>
              </w:rPr>
              <w:t>Reviewed historical exclusion measurement; not documented as observed-plus-headroom</w:t>
            </w:r>
          </w:p>
        </w:tc>
      </w:tr>
    </w:tbl>
    <w:p>
      <w:pPr>
        <w:spacing w:after="40"/>
      </w:pPr>
    </w:p>
    <w:p>
      <w:r>
        <w:t>No pending ceiling was changed. The current code records source/boundary provenance, but it does not state that 234 or 13,583 were calculated using a headroom formula.</w:t>
      </w:r>
    </w:p>
    <w:p>
      <w:pPr>
        <w:pStyle w:val="Heading1"/>
      </w:pPr>
      <w:r>
        <w:t>3. PB10.0.2 — Will the new September upload be selected?</w:t>
      </w:r>
    </w:p>
    <w:p>
      <w:pPr>
        <w:pStyle w:val="Heading2"/>
      </w:pPr>
      <w:r>
        <w:t>3.1 Period resolution</w:t>
      </w:r>
    </w:p>
    <w:p>
      <w:r>
        <w:t>The upload endpoint resolves a new upload with timestamp fallback disabled. It checks explicit period, workbook content, selected worksheet name, and filename; it does not use upload time for a new upload that lacks a determinable period.</w:t>
      </w:r>
    </w:p>
    <w:p>
      <w:pPr>
        <w:pStyle w:val="Code"/>
        <w:spacing w:before="40" w:after="80"/>
        <w:ind w:left="360"/>
      </w:pPr>
      <w:r>
        <w:t>inferUploadPlanningMonth(</w:t>
        <w:br/>
        <w:t xml:space="preserve">  raw,</w:t>
        <w:br/>
        <w:t xml:space="preserve">  req.file.originalname,</w:t>
        <w:br/>
        <w:t xml:space="preserve">  new Date(),</w:t>
        <w:br/>
        <w:t xml:space="preserve">  requestedPeriod || null,</w:t>
        <w:br/>
        <w:t xml:space="preserve">  sourcePeriod,</w:t>
        <w:br/>
        <w:t xml:space="preserve">  false,</w:t>
        <w:br/>
        <w:t>)</w:t>
      </w:r>
    </w:p>
    <w:p>
      <w:r>
        <w:t>For plumbing_fg_stock, the detected source month is shifted forward by one month. Consequently:</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1F4E79"/>
          </w:tcPr>
          <w:p>
            <w:pPr>
              <w:spacing w:after="0"/>
            </w:pPr>
            <w:r/>
            <w:r>
              <w:rPr>
                <w:rFonts w:ascii="Aptos" w:hAnsi="Aptos" w:eastAsia="Aptos"/>
                <w:b/>
                <w:color w:val="FFFFFF"/>
                <w:sz w:val="18"/>
              </w:rPr>
              <w:t>File naming/source month</w:t>
            </w:r>
          </w:p>
        </w:tc>
        <w:tc>
          <w:tcPr>
            <w:tcW w:type="dxa" w:w="2160"/>
            <w:vAlign w:val="center"/>
            <w:shd w:fill="1F4E79"/>
          </w:tcPr>
          <w:p>
            <w:pPr>
              <w:spacing w:after="0"/>
            </w:pPr>
            <w:r/>
            <w:r>
              <w:rPr>
                <w:rFonts w:ascii="Aptos" w:hAnsi="Aptos" w:eastAsia="Aptos"/>
                <w:b/>
                <w:color w:val="FFFFFF"/>
                <w:sz w:val="18"/>
              </w:rPr>
              <w:t>Detected planning month</w:t>
            </w:r>
          </w:p>
        </w:tc>
        <w:tc>
          <w:tcPr>
            <w:tcW w:type="dxa" w:w="2160"/>
            <w:vAlign w:val="center"/>
            <w:shd w:fill="1F4E79"/>
          </w:tcPr>
          <w:p>
            <w:pPr>
              <w:spacing w:after="0"/>
            </w:pPr>
            <w:r/>
            <w:r>
              <w:rPr>
                <w:rFonts w:ascii="Aptos" w:hAnsi="Aptos" w:eastAsia="Aptos"/>
                <w:b/>
                <w:color w:val="FFFFFF"/>
                <w:sz w:val="18"/>
              </w:rPr>
              <w:t>September candidate?</w:t>
            </w:r>
          </w:p>
        </w:tc>
      </w:tr>
      <w:tr>
        <w:tc>
          <w:tcPr>
            <w:tcW w:type="dxa" w:w="3888"/>
            <w:vAlign w:val="center"/>
            <w:shd w:fill="F2F6FA"/>
          </w:tcPr>
          <w:p>
            <w:pPr>
              <w:spacing w:after="0"/>
            </w:pPr>
            <w:r/>
            <w:r>
              <w:rPr>
                <w:rFonts w:ascii="Aptos" w:hAnsi="Aptos" w:eastAsia="Aptos"/>
                <w:b w:val="0"/>
                <w:sz w:val="18"/>
              </w:rPr>
              <w:t>FG Stock … August.xlsx / 2026-08</w:t>
            </w:r>
          </w:p>
        </w:tc>
        <w:tc>
          <w:tcPr>
            <w:tcW w:type="dxa" w:w="2160"/>
            <w:vAlign w:val="center"/>
            <w:shd w:fill="F2F6FA"/>
          </w:tcPr>
          <w:p>
            <w:pPr>
              <w:spacing w:after="0"/>
            </w:pPr>
            <w:r/>
            <w:r>
              <w:rPr>
                <w:rFonts w:ascii="Aptos" w:hAnsi="Aptos" w:eastAsia="Aptos"/>
                <w:b w:val="0"/>
                <w:sz w:val="18"/>
              </w:rPr>
              <w:t>2026-09</w:t>
            </w:r>
          </w:p>
        </w:tc>
        <w:tc>
          <w:tcPr>
            <w:tcW w:type="dxa" w:w="2160"/>
            <w:vAlign w:val="center"/>
            <w:shd w:fill="F2F6FA"/>
          </w:tcPr>
          <w:p>
            <w:pPr>
              <w:spacing w:after="0"/>
            </w:pPr>
            <w:r/>
            <w:r>
              <w:rPr>
                <w:rFonts w:ascii="Aptos" w:hAnsi="Aptos" w:eastAsia="Aptos"/>
                <w:b w:val="0"/>
                <w:sz w:val="18"/>
              </w:rPr>
              <w:t>Yes</w:t>
            </w:r>
          </w:p>
        </w:tc>
      </w:tr>
      <w:tr>
        <w:tc>
          <w:tcPr>
            <w:tcW w:type="dxa" w:w="3888"/>
            <w:vAlign w:val="center"/>
          </w:tcPr>
          <w:p>
            <w:pPr>
              <w:spacing w:after="0"/>
            </w:pPr>
            <w:r/>
            <w:r>
              <w:rPr>
                <w:rFonts w:ascii="Aptos" w:hAnsi="Aptos" w:eastAsia="Aptos"/>
                <w:b w:val="0"/>
                <w:sz w:val="18"/>
              </w:rPr>
              <w:t>Current legacy upload #13 / timestamp-derived 2026-08</w:t>
            </w:r>
          </w:p>
        </w:tc>
        <w:tc>
          <w:tcPr>
            <w:tcW w:type="dxa" w:w="2160"/>
            <w:vAlign w:val="center"/>
          </w:tcPr>
          <w:p>
            <w:pPr>
              <w:spacing w:after="0"/>
            </w:pPr>
            <w:r/>
            <w:r>
              <w:rPr>
                <w:rFonts w:ascii="Aptos" w:hAnsi="Aptos" w:eastAsia="Aptos"/>
                <w:b w:val="0"/>
                <w:sz w:val="18"/>
              </w:rPr>
              <w:t>2026-08</w:t>
            </w:r>
          </w:p>
        </w:tc>
        <w:tc>
          <w:tcPr>
            <w:tcW w:type="dxa" w:w="2160"/>
            <w:vAlign w:val="center"/>
          </w:tcPr>
          <w:p>
            <w:pPr>
              <w:spacing w:after="0"/>
            </w:pPr>
            <w:r/>
            <w:r>
              <w:rPr>
                <w:rFonts w:ascii="Aptos" w:hAnsi="Aptos" w:eastAsia="Aptos"/>
                <w:b w:val="0"/>
                <w:sz w:val="18"/>
              </w:rPr>
              <w:t>No</w:t>
            </w:r>
          </w:p>
        </w:tc>
      </w:tr>
    </w:tbl>
    <w:p>
      <w:pPr>
        <w:spacing w:after="40"/>
      </w:pPr>
    </w:p>
    <w:p>
      <w:pPr>
        <w:pStyle w:val="Heading2"/>
      </w:pPr>
      <w:r>
        <w:t>3.2 Matching upload selection</w:t>
      </w:r>
    </w:p>
    <w:p>
      <w:r>
        <w:t>loadLatestUploadSnapshotByKind() loads all uploads of the requested kind, sorts them newest-first by uploadedAt, resolves each candidate’s planning period, and selects the first candidate matching the requested month.</w:t>
      </w:r>
    </w:p>
    <w:p>
      <w:pPr>
        <w:pStyle w:val="Code"/>
        <w:spacing w:before="40" w:after="80"/>
        <w:ind w:left="360"/>
      </w:pPr>
      <w:r>
        <w:t>const file = files</w:t>
        <w:br/>
        <w:t xml:space="preserve">  .map(candidate =&gt; ({ ...candidate, period: inferUploadPlanningMonth(...) }))</w:t>
        <w:br/>
        <w:t xml:space="preserve">  .find(candidate =&gt; !month || candidate.period === month);</w:t>
      </w:r>
    </w:p>
    <w:p>
      <w:r>
        <w:t>If both a legacy timestamp-derived file and a correctly dated file resolve to the same month, the newer upload wins. The selector does not currently rank content-derived or explicit periods above legacy timestamp-derived periods.</w:t>
      </w:r>
    </w:p>
    <w:p>
      <w:r>
        <w:t>That general case could allow a later legacy upload to win over an earlier correctly dated upload. It does not apply to current upload #13 for September because #13 resolves to August and therefore does not match 2026-09.</w:t>
      </w:r>
    </w:p>
    <w:p>
      <w:pPr>
        <w:pStyle w:val="Heading1"/>
      </w:pPr>
      <w:r>
        <w:t>4. Dummy-stock source and recompute behavior</w:t>
      </w:r>
    </w:p>
    <w:p>
      <w:pPr>
        <w:pStyle w:val="Heading2"/>
      </w:pPr>
      <w:r>
        <w:t>4.1 Frozen corrective runs</w:t>
      </w:r>
    </w:p>
    <w:p>
      <w:r>
        <w:t>When a corrective run is pinned to a finalized plan run, loadFrozenBaselineItems() reads plan_run_results and plan_run_inputs. It sets pendingOrderLastMonth from the frozen input row:</w:t>
      </w:r>
    </w:p>
    <w:p>
      <w:pPr>
        <w:pStyle w:val="Code"/>
        <w:spacing w:before="40" w:after="80"/>
        <w:ind w:left="360"/>
      </w:pPr>
      <w:r>
        <w:t>pendingOrderLastMonth: inp?.pendingLastMonth ?? 0</w:t>
      </w:r>
    </w:p>
    <w:p>
      <w:r>
        <w:t>This means the corrective baseline carries the dummy/pending-last-month quantity captured when the plan run was created. It does not reread the Plumbing FG upload for that frozen baseline.</w:t>
      </w:r>
    </w:p>
    <w:p>
      <w:r>
        <w:t>Relevant code: artifacts/api-server/src/lib/corrective-engine.ts:496-552 and 584-594.</w:t>
      </w:r>
    </w:p>
    <w:p>
      <w:pPr>
        <w:pStyle w:val="Heading2"/>
      </w:pPr>
      <w:r>
        <w:t>4.2 Live rebuilds</w:t>
      </w:r>
    </w:p>
    <w:p>
      <w:r>
        <w:t>A live rebuild without a frozen planRunId calls buildPlumbingPlanItemsInner(). That path requires the month-matching plumbing_fg_stock upload and parses Net Stock as follows:</w:t>
      </w:r>
    </w:p>
    <w:p>
      <w:pPr>
        <w:pStyle w:val="Code"/>
        <w:spacing w:before="40" w:after="80"/>
        <w:ind w:left="360"/>
      </w:pPr>
      <w:r>
        <w:t>positive Net Stock → opening stock</w:t>
        <w:br/>
        <w:t>negative Net Stock → abs(Net Stock) as pendingOrderLastMonth</w:t>
      </w:r>
    </w:p>
    <w:p>
      <w:r>
        <w:t>Therefore, a live rebuild rereads the FG upload. This is distinct from a corrective run pinned to a finalized frozen baseline.</w:t>
      </w:r>
    </w:p>
    <w:p>
      <w:r>
        <w:t>Relevant code: artifacts/api-server/src/routes/plan.ts:1011-1035 and 1050-1121.</w:t>
      </w:r>
    </w:p>
    <w:p>
      <w:pPr>
        <w:pStyle w:val="Heading2"/>
      </w:pPr>
      <w:r>
        <w:t>4.3 Live workbook and pending sources</w:t>
      </w:r>
    </w:p>
    <w:p>
      <w:r>
        <w:t>The live Plumbing workbook is not a dummy-stock source. fetchPlumbingPlanData() has a column allow-list restricted to roster/type, average three-month sales, and per-item multiplier. Its comments and tripwire explicitly exclude stock, pending, pending-last-month, buffer, and computed production columns.</w:t>
      </w:r>
    </w:p>
    <w:p>
      <w:r>
        <w:t>The Plumbing plan obtains stock and pending-last-month exclusively from the FG Stock upload. The workbook is reference data for roster, sales, type, and multiplier.</w:t>
      </w:r>
    </w:p>
    <w:p>
      <w:r>
        <w:t>Relevant code: artifacts/api-server/src/lib/sheets.ts:2049-2054 and 2189-2195.</w:t>
      </w:r>
    </w:p>
    <w:p>
      <w:r>
        <w:t>The live Pending Order / report sheet and the SAP pending upload represent current pending populations. They are not dummy-stock sources:</w:t>
      </w:r>
    </w:p>
    <w:p>
      <w:pPr>
        <w:pStyle w:val="ListBullet"/>
      </w:pPr>
      <w:r>
        <w:t>The normal Plumbing plan uses the uploaded pending_orders source for current pending.</w:t>
      </w:r>
    </w:p>
    <w:p>
      <w:pPr>
        <w:pStyle w:val="ListBullet"/>
      </w:pPr>
      <w:r>
        <w:t>The live pending sheet is used for diagnostics and corrective workflows.</w:t>
      </w:r>
    </w:p>
    <w:p>
      <w:pPr>
        <w:pStyle w:val="ListBullet"/>
      </w:pPr>
      <w:r>
        <w:t>Neither source populates pendingLastMonth / dummy stock.</w:t>
      </w:r>
    </w:p>
    <w:p>
      <w:pPr>
        <w:pStyle w:val="Heading1"/>
      </w:pPr>
      <w:r>
        <w:t>5. Approval and change status</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1F4E79"/>
          </w:tcPr>
          <w:p>
            <w:pPr>
              <w:spacing w:after="0"/>
            </w:pPr>
            <w:r/>
            <w:r>
              <w:rPr>
                <w:rFonts w:ascii="Aptos" w:hAnsi="Aptos" w:eastAsia="Aptos"/>
                <w:b/>
                <w:color w:val="FFFFFF"/>
                <w:sz w:val="18"/>
              </w:rPr>
              <w:t>Item</w:t>
            </w:r>
          </w:p>
        </w:tc>
        <w:tc>
          <w:tcPr>
            <w:tcW w:type="dxa" w:w="4752"/>
            <w:vAlign w:val="center"/>
            <w:shd w:fill="1F4E79"/>
          </w:tcPr>
          <w:p>
            <w:pPr>
              <w:spacing w:after="0"/>
            </w:pPr>
            <w:r/>
            <w:r>
              <w:rPr>
                <w:rFonts w:ascii="Aptos" w:hAnsi="Aptos" w:eastAsia="Aptos"/>
                <w:b/>
                <w:color w:val="FFFFFF"/>
                <w:sz w:val="18"/>
              </w:rPr>
              <w:t>Status</w:t>
            </w:r>
          </w:p>
        </w:tc>
      </w:tr>
      <w:tr>
        <w:tc>
          <w:tcPr>
            <w:tcW w:type="dxa" w:w="4032"/>
            <w:vAlign w:val="center"/>
            <w:shd w:fill="F2F6FA"/>
          </w:tcPr>
          <w:p>
            <w:pPr>
              <w:spacing w:after="0"/>
            </w:pPr>
            <w:r/>
            <w:r>
              <w:rPr>
                <w:rFonts w:ascii="Aptos" w:hAnsi="Aptos" w:eastAsia="Aptos"/>
                <w:b w:val="0"/>
                <w:sz w:val="18"/>
              </w:rPr>
              <w:t>PB10.0 read-only inspection</w:t>
            </w:r>
          </w:p>
        </w:tc>
        <w:tc>
          <w:tcPr>
            <w:tcW w:type="dxa" w:w="4752"/>
            <w:vAlign w:val="center"/>
            <w:shd w:fill="F2F6FA"/>
          </w:tcPr>
          <w:p>
            <w:pPr>
              <w:spacing w:after="0"/>
            </w:pPr>
            <w:r/>
            <w:r>
              <w:rPr>
                <w:rFonts w:ascii="Aptos" w:hAnsi="Aptos" w:eastAsia="Aptos"/>
                <w:b w:val="0"/>
                <w:sz w:val="18"/>
              </w:rPr>
              <w:t>Completed</w:t>
            </w:r>
          </w:p>
        </w:tc>
      </w:tr>
      <w:tr>
        <w:tc>
          <w:tcPr>
            <w:tcW w:type="dxa" w:w="4032"/>
            <w:vAlign w:val="center"/>
          </w:tcPr>
          <w:p>
            <w:pPr>
              <w:spacing w:after="0"/>
            </w:pPr>
            <w:r/>
            <w:r>
              <w:rPr>
                <w:rFonts w:ascii="Aptos" w:hAnsi="Aptos" w:eastAsia="Aptos"/>
                <w:b w:val="0"/>
                <w:sz w:val="18"/>
              </w:rPr>
              <w:t>PB10.1 Unmapped routing</w:t>
            </w:r>
          </w:p>
        </w:tc>
        <w:tc>
          <w:tcPr>
            <w:tcW w:type="dxa" w:w="4752"/>
            <w:vAlign w:val="center"/>
          </w:tcPr>
          <w:p>
            <w:pPr>
              <w:spacing w:after="0"/>
            </w:pPr>
            <w:r/>
            <w:r>
              <w:rPr>
                <w:rFonts w:ascii="Aptos" w:hAnsi="Aptos" w:eastAsia="Aptos"/>
                <w:b w:val="0"/>
                <w:sz w:val="18"/>
              </w:rPr>
              <w:t>Not implemented; approval still required</w:t>
            </w:r>
          </w:p>
        </w:tc>
      </w:tr>
      <w:tr>
        <w:tc>
          <w:tcPr>
            <w:tcW w:type="dxa" w:w="4032"/>
            <w:vAlign w:val="center"/>
            <w:shd w:fill="F2F6FA"/>
          </w:tcPr>
          <w:p>
            <w:pPr>
              <w:spacing w:after="0"/>
            </w:pPr>
            <w:r/>
            <w:r>
              <w:rPr>
                <w:rFonts w:ascii="Aptos" w:hAnsi="Aptos" w:eastAsia="Aptos"/>
                <w:b w:val="0"/>
                <w:sz w:val="18"/>
              </w:rPr>
              <w:t>PB10.2 September FG upload</w:t>
            </w:r>
          </w:p>
        </w:tc>
        <w:tc>
          <w:tcPr>
            <w:tcW w:type="dxa" w:w="4752"/>
            <w:vAlign w:val="center"/>
            <w:shd w:fill="F2F6FA"/>
          </w:tcPr>
          <w:p>
            <w:pPr>
              <w:spacing w:after="0"/>
            </w:pPr>
            <w:r/>
            <w:r>
              <w:rPr>
                <w:rFonts w:ascii="Aptos" w:hAnsi="Aptos" w:eastAsia="Aptos"/>
                <w:b w:val="0"/>
                <w:sz w:val="18"/>
              </w:rPr>
              <w:t>Not uploaded; approval still required</w:t>
            </w:r>
          </w:p>
        </w:tc>
      </w:tr>
      <w:tr>
        <w:tc>
          <w:tcPr>
            <w:tcW w:type="dxa" w:w="4032"/>
            <w:vAlign w:val="center"/>
          </w:tcPr>
          <w:p>
            <w:pPr>
              <w:spacing w:after="0"/>
            </w:pPr>
            <w:r/>
            <w:r>
              <w:rPr>
                <w:rFonts w:ascii="Aptos" w:hAnsi="Aptos" w:eastAsia="Aptos"/>
                <w:b w:val="0"/>
                <w:sz w:val="18"/>
              </w:rPr>
              <w:t>PB10.3 September Temporary Plan</w:t>
            </w:r>
          </w:p>
        </w:tc>
        <w:tc>
          <w:tcPr>
            <w:tcW w:type="dxa" w:w="4752"/>
            <w:vAlign w:val="center"/>
          </w:tcPr>
          <w:p>
            <w:pPr>
              <w:spacing w:after="0"/>
            </w:pPr>
            <w:r/>
            <w:r>
              <w:rPr>
                <w:rFonts w:ascii="Aptos" w:hAnsi="Aptos" w:eastAsia="Aptos"/>
                <w:b w:val="0"/>
                <w:sz w:val="18"/>
              </w:rPr>
              <w:t>Not run; approval still required</w:t>
            </w:r>
          </w:p>
        </w:tc>
      </w:tr>
      <w:tr>
        <w:tc>
          <w:tcPr>
            <w:tcW w:type="dxa" w:w="4032"/>
            <w:vAlign w:val="center"/>
            <w:shd w:fill="F2F6FA"/>
          </w:tcPr>
          <w:p>
            <w:pPr>
              <w:spacing w:after="0"/>
            </w:pPr>
            <w:r/>
            <w:r>
              <w:rPr>
                <w:rFonts w:ascii="Aptos" w:hAnsi="Aptos" w:eastAsia="Aptos"/>
                <w:b w:val="0"/>
                <w:sz w:val="18"/>
              </w:rPr>
              <w:t>replit.md update</w:t>
            </w:r>
          </w:p>
        </w:tc>
        <w:tc>
          <w:tcPr>
            <w:tcW w:type="dxa" w:w="4752"/>
            <w:vAlign w:val="center"/>
            <w:shd w:fill="F2F6FA"/>
          </w:tcPr>
          <w:p>
            <w:pPr>
              <w:spacing w:after="0"/>
            </w:pPr>
            <w:r/>
            <w:r>
              <w:rPr>
                <w:rFonts w:ascii="Aptos" w:hAnsi="Aptos" w:eastAsia="Aptos"/>
                <w:b w:val="0"/>
                <w:sz w:val="18"/>
              </w:rPr>
              <w:t>Not made under the explicit-approval boundary</w:t>
            </w:r>
          </w:p>
        </w:tc>
      </w:tr>
      <w:tr>
        <w:tc>
          <w:tcPr>
            <w:tcW w:type="dxa" w:w="4032"/>
            <w:vAlign w:val="center"/>
          </w:tcPr>
          <w:p>
            <w:pPr>
              <w:spacing w:after="0"/>
            </w:pPr>
            <w:r/>
            <w:r>
              <w:rPr>
                <w:rFonts w:ascii="Aptos" w:hAnsi="Aptos" w:eastAsia="Aptos"/>
                <w:b w:val="0"/>
                <w:sz w:val="18"/>
              </w:rPr>
              <w:t>Task proposing Unmapped resolution</w:t>
            </w:r>
          </w:p>
        </w:tc>
        <w:tc>
          <w:tcPr>
            <w:tcW w:type="dxa" w:w="4752"/>
            <w:vAlign w:val="center"/>
          </w:tcPr>
          <w:p>
            <w:pPr>
              <w:spacing w:after="0"/>
            </w:pPr>
            <w:r/>
            <w:r>
              <w:rPr>
                <w:rFonts w:ascii="Aptos" w:hAnsi="Aptos" w:eastAsia="Aptos"/>
                <w:b w:val="0"/>
                <w:sz w:val="18"/>
              </w:rPr>
              <w:t>Canceled; not recreated</w:t>
            </w:r>
          </w:p>
        </w:tc>
      </w:tr>
    </w:tbl>
    <w:p>
      <w:pPr>
        <w:spacing w:after="40"/>
      </w:pPr>
    </w:p>
    <w:p>
      <w:pPr>
        <w:pStyle w:val="Heading1"/>
      </w:pPr>
      <w:r>
        <w:t>6. Source references</w:t>
      </w:r>
    </w:p>
    <w:p>
      <w:pPr>
        <w:pStyle w:val="ListBullet"/>
      </w:pPr>
      <w:r>
        <w:t>artifacts/api-server/src/routes/plan.ts:537-559 — reviewed stock policies</w:t>
      </w:r>
    </w:p>
    <w:p>
      <w:pPr>
        <w:pStyle w:val="ListBullet"/>
      </w:pPr>
      <w:r>
        <w:t>artifacts/api-server/src/routes/plan.ts:1011-1121 — Plumbing upload source and negative Net Stock handling</w:t>
      </w:r>
    </w:p>
    <w:p>
      <w:pPr>
        <w:pStyle w:val="ListBullet"/>
      </w:pPr>
      <w:r>
        <w:t>artifacts/api-server/src/routes/plan.ts:1516-1544 — month-matching upload selector</w:t>
      </w:r>
    </w:p>
    <w:p>
      <w:pPr>
        <w:pStyle w:val="ListBullet"/>
      </w:pPr>
      <w:r>
        <w:t>artifacts/api-server/src/lib/upload-period.ts:66-94 — source-to-planning-month resolution</w:t>
      </w:r>
    </w:p>
    <w:p>
      <w:pPr>
        <w:pStyle w:val="ListBullet"/>
      </w:pPr>
      <w:r>
        <w:t>artifacts/api-server/src/routes/uploads.ts:114-131 — new upload period handling</w:t>
      </w:r>
    </w:p>
    <w:p>
      <w:pPr>
        <w:pStyle w:val="ListBullet"/>
      </w:pPr>
      <w:r>
        <w:t>artifacts/api-server/src/lib/sheets.ts:2049-2054 and 2189-2195 — live workbook column allow-list</w:t>
      </w:r>
    </w:p>
    <w:p>
      <w:pPr>
        <w:pStyle w:val="ListBullet"/>
      </w:pPr>
      <w:r>
        <w:t>artifacts/api-server/src/lib/corrective-engine.ts:496-552 and 584-594 — frozen versus live corrective baseline behavior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Development-only review | No upload, recompute, validation, policy, override, scheduler, deployment, or publication performed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Prayag Plumbing — PB10.0 Read-Only Findings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PB10.0 — Plumbing September Planning Read-Only Findings</dc:title>
  <dc:subject>Plumbing Stage B / PB10.0 source and ceiling review</dc:subject>
  <dc:creator>Replit Agent</dc:creator>
  <cp:keywords>Prayag, Plumbing, PB10, dummy stock, upload selection, read-only</cp:keywords>
  <dc:description>generated by python-docx</dc:description>
  <cp:lastModifiedBy/>
  <cp:revision>1</cp:revision>
  <dcterms:created xsi:type="dcterms:W3CDTF">2013-12-23T23:15:00Z</dcterms:created>
  <dcterms:modified xsi:type="dcterms:W3CDTF">2013-12-23T23:15:00Z</dcterms:modified>
  <cp:category/>
</cp:coreProperties>
</file>