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Machine Contract Investigation</w:t>
      </w:r>
    </w:p>
    <w:p>
      <w:pPr>
        <w:spacing w:after="40"/>
      </w:pPr>
      <w:r>
        <w:rPr>
          <w:b/>
          <w:color w:val="2F5597"/>
          <w:sz w:val="22"/>
        </w:rPr>
        <w:t>September 2026 Plumbing scheduler • MC.0, MC.1, and MC.2</w:t>
      </w:r>
    </w:p>
    <w:p>
      <w:pPr>
        <w:pStyle w:val="SmallNote"/>
      </w:pPr>
      <w:r>
        <w:t>Prepared 9 September 2026. Values are reported as observed; no fit or finalization decision is made in this document.</w:t>
      </w:r>
    </w:p>
    <w:p>
      <w:pPr>
        <w:spacing w:before="120"/>
      </w:pPr>
      <w:r>
        <w:rPr>
          <w:b/>
          <w:color w:val="C0504D"/>
        </w:rPr>
        <w:t>Scope and safety constraints</w:t>
      </w:r>
    </w:p>
    <w:p>
      <w:pPr>
        <w:pStyle w:val="ListBullet"/>
        <w:spacing w:after="40"/>
      </w:pPr>
      <w:r>
        <w:t>No Plumbing or PTMT plan was fitted to capacity.</w:t>
      </w:r>
    </w:p>
    <w:p>
      <w:pPr>
        <w:pStyle w:val="ListBullet"/>
        <w:spacing w:after="40"/>
      </w:pPr>
      <w:r>
        <w:t>No plan was finalized, published, scheduled, or deleted.</w:t>
      </w:r>
    </w:p>
    <w:p>
      <w:pPr>
        <w:pStyle w:val="ListBullet"/>
        <w:spacing w:after="40"/>
      </w:pPr>
      <w:r>
        <w:t>Protected runs #28, #30, and #32 were not touched.</w:t>
      </w:r>
    </w:p>
    <w:p>
      <w:pPr>
        <w:pStyle w:val="ListBullet"/>
        <w:spacing w:after="40"/>
      </w:pPr>
      <w:r>
        <w:t>The scheduler parser was inspected but not changed.</w:t>
      </w:r>
    </w:p>
    <w:p>
      <w:pPr>
        <w:pStyle w:val="Heading1"/>
      </w:pPr>
      <w:r>
        <w:t>Executive summary</w:t>
      </w:r>
    </w:p>
    <w:p>
      <w:pPr>
        <w:pStyle w:val="ListBullet"/>
        <w:spacing w:after="40"/>
      </w:pPr>
      <w:r>
        <w:t>The current development September Plumbing draft is run #2517 with 1,368 result rows, not the 876-row figure in the attached query.</w:t>
      </w:r>
    </w:p>
    <w:p>
      <w:pPr>
        <w:pStyle w:val="ListBullet"/>
        <w:spacing w:after="40"/>
      </w:pPr>
      <w:r>
        <w:t>A read-only coverage scan submitted 427 positive pipe/fitting demand rows: 87 pipe rows and 340 fitting rows.</w:t>
      </w:r>
    </w:p>
    <w:p>
      <w:pPr>
        <w:pStyle w:val="ListBullet"/>
        <w:spacing w:after="40"/>
      </w:pPr>
      <w:r>
        <w:t>The live scheduler returned coverage for all 427 submitted rows. Forty-six were reported as data-limited; no submitted row disappeared from coverage.</w:t>
      </w:r>
    </w:p>
    <w:p>
      <w:pPr>
        <w:pStyle w:val="ListBullet"/>
        <w:spacing w:after="40"/>
      </w:pPr>
      <w:r>
        <w:t>The single MC.1 probe returned HTTP 200. All three submitted pipe lines appeared in coverage.items in request order and were schedulable.</w:t>
      </w:r>
    </w:p>
    <w:p>
      <w:pPr>
        <w:pStyle w:val="ListBullet"/>
        <w:spacing w:after="40"/>
      </w:pPr>
      <w:r>
        <w:t>The current adapter reads blocks, weekly_fill, and unfinished, but does not structurally read coverage.items, data_limited, or demand_reconciliation.</w:t>
      </w:r>
    </w:p>
    <w:p>
      <w:pPr>
        <w:pStyle w:val="Heading1"/>
      </w:pPr>
      <w:r>
        <w:t>MC.0 — Read-only coverage join</w:t>
      </w:r>
    </w:p>
    <w:p>
      <w:r>
        <w:t>The current development state does not contain an 876-row September Plumbing plan. The available draft and the scheduler-eligible positive demand were observed as follows: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176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547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Observed value</w:t>
            </w:r>
          </w:p>
        </w:tc>
      </w:tr>
      <w:tr>
        <w:tc>
          <w:tcPr>
            <w:tcW w:type="dxa" w:w="417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Draft run</w:t>
            </w:r>
          </w:p>
        </w:tc>
        <w:tc>
          <w:tcPr>
            <w:tcW w:type="dxa" w:w="547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#2517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Draft result rows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1,368</w:t>
            </w:r>
          </w:p>
        </w:tc>
      </w:tr>
      <w:tr>
        <w:tc>
          <w:tcPr>
            <w:tcW w:type="dxa" w:w="417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Draft demand</w:t>
            </w:r>
          </w:p>
        </w:tc>
        <w:tc>
          <w:tcPr>
            <w:tcW w:type="dxa" w:w="547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1,655,010.60 pcs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Positive pipe/fitting rows scanned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427</w:t>
            </w:r>
          </w:p>
        </w:tc>
      </w:tr>
      <w:tr>
        <w:tc>
          <w:tcPr>
            <w:tcW w:type="dxa" w:w="417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Positive pipe rows</w:t>
            </w:r>
          </w:p>
        </w:tc>
        <w:tc>
          <w:tcPr>
            <w:tcW w:type="dxa" w:w="547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87 rows • 269,892.90 pcs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Positive fitting rows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340 rows • 1,337,759.09 pcs</w:t>
            </w:r>
          </w:p>
        </w:tc>
      </w:tr>
    </w:tbl>
    <w:p>
      <w:pPr>
        <w:spacing w:after="0"/>
      </w:pPr>
    </w:p>
    <w:p>
      <w:pPr>
        <w:pStyle w:val="Heading2"/>
      </w:pPr>
      <w:r>
        <w:t>Coverage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1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216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Total</w:t>
            </w:r>
          </w:p>
        </w:tc>
        <w:tc>
          <w:tcPr>
            <w:tcW w:type="dxa" w:w="216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Pipe</w:t>
            </w:r>
          </w:p>
        </w:tc>
        <w:tc>
          <w:tcPr>
            <w:tcW w:type="dxa" w:w="216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Fitting</w:t>
            </w:r>
          </w:p>
        </w:tc>
      </w:tr>
      <w:tr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Coverage entries returned</w:t>
            </w:r>
          </w:p>
        </w:tc>
        <w:tc>
          <w:tcPr>
            <w:tcW w:type="dxa" w:w="216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427 / 427</w:t>
            </w:r>
          </w:p>
        </w:tc>
        <w:tc>
          <w:tcPr>
            <w:tcW w:type="dxa" w:w="216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87</w:t>
            </w:r>
          </w:p>
        </w:tc>
        <w:tc>
          <w:tcPr>
            <w:tcW w:type="dxa" w:w="216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340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Missing coverage entries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</w:tr>
      <w:tr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Data-limited entries</w:t>
            </w:r>
          </w:p>
        </w:tc>
        <w:tc>
          <w:tcPr>
            <w:tcW w:type="dxa" w:w="216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46</w:t>
            </w:r>
          </w:p>
        </w:tc>
        <w:tc>
          <w:tcPr>
            <w:tcW w:type="dxa" w:w="216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216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Data-limited pieces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11,413.51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1,685.83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9,727.68</w:t>
            </w:r>
          </w:p>
        </w:tc>
      </w:tr>
      <w:tr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 flagged data-limited</w:t>
            </w:r>
          </w:p>
        </w:tc>
        <w:tc>
          <w:tcPr>
            <w:tcW w:type="dxa" w:w="216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381</w:t>
            </w:r>
          </w:p>
        </w:tc>
        <w:tc>
          <w:tcPr>
            <w:tcW w:type="dxa" w:w="216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81</w:t>
            </w:r>
          </w:p>
        </w:tc>
        <w:tc>
          <w:tcPr>
            <w:tcW w:type="dxa" w:w="216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</w:tbl>
    <w:p>
      <w:pPr>
        <w:spacing w:after="0"/>
      </w:pPr>
    </w:p>
    <w:p>
      <w:r>
        <w:t>The previously cited Prayag inventory figures of 566 routed items and 546 with route plus BOM weight remain source-side figures. The published API does not expose a standalone routing catalogue, so the live join was performed against submitted September demand using coverage.items and data_limited.</w:t>
      </w:r>
    </w:p>
    <w:p>
      <w:pPr>
        <w:pStyle w:val="Heading2"/>
      </w:pPr>
      <w:r>
        <w:t>Normalizer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Comparison</w:t>
            </w:r>
          </w:p>
        </w:tc>
        <w:tc>
          <w:tcPr>
            <w:tcW w:type="dxa" w:w="504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460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Project normalizer matches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427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Prayag normalizer matches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427</w:t>
            </w:r>
          </w:p>
        </w:tc>
      </w:tr>
      <w:tr>
        <w:tc>
          <w:tcPr>
            <w:tcW w:type="dxa" w:w="460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Rows with differing normalized keys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Decimal-looking or special-spelling differences in submitted codes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None observed</w:t>
            </w:r>
          </w:p>
        </w:tc>
      </w:tr>
    </w:tbl>
    <w:p>
      <w:pPr>
        <w:spacing w:after="0"/>
      </w:pPr>
    </w:p>
    <w:p>
      <w:pPr>
        <w:pStyle w:val="Heading2"/>
      </w:pPr>
      <w:r>
        <w:t>Top 20 data-limited demand rows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44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144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Material</w:t>
            </w:r>
          </w:p>
        </w:tc>
        <w:tc>
          <w:tcPr>
            <w:tcW w:type="dxa" w:w="1296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Kind</w:t>
            </w:r>
          </w:p>
        </w:tc>
        <w:tc>
          <w:tcPr>
            <w:tcW w:type="dxa" w:w="144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Pieces</w:t>
            </w:r>
          </w:p>
        </w:tc>
        <w:tc>
          <w:tcPr>
            <w:tcW w:type="dxa" w:w="3456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Reported reason</w:t>
            </w:r>
          </w:p>
        </w:tc>
      </w:tr>
      <w:tr>
        <w:tc>
          <w:tcPr>
            <w:tcW w:type="dxa" w:w="14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CH72F</w:t>
            </w:r>
          </w:p>
        </w:tc>
        <w:tc>
          <w:tcPr>
            <w:tcW w:type="dxa" w:w="14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CPVC</w:t>
            </w:r>
          </w:p>
        </w:tc>
        <w:tc>
          <w:tcPr>
            <w:tcW w:type="dxa" w:w="129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Fitting</w:t>
            </w:r>
          </w:p>
        </w:tc>
        <w:tc>
          <w:tcPr>
            <w:tcW w:type="dxa" w:w="14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1,399.80</w:t>
            </w:r>
          </w:p>
        </w:tc>
        <w:tc>
          <w:tcPr>
            <w:tcW w:type="dxa" w:w="345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missing BOM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CH79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CPVC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Fitting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1,163.32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missing route; rate fallback</w:t>
            </w:r>
          </w:p>
        </w:tc>
      </w:tr>
      <w:tr>
        <w:tc>
          <w:tcPr>
            <w:tcW w:type="dxa" w:w="14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PC22</w:t>
            </w:r>
          </w:p>
        </w:tc>
        <w:tc>
          <w:tcPr>
            <w:tcW w:type="dxa" w:w="14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CPVC</w:t>
            </w:r>
          </w:p>
        </w:tc>
        <w:tc>
          <w:tcPr>
            <w:tcW w:type="dxa" w:w="129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Fitting</w:t>
            </w:r>
          </w:p>
        </w:tc>
        <w:tc>
          <w:tcPr>
            <w:tcW w:type="dxa" w:w="14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1,116.20</w:t>
            </w:r>
          </w:p>
        </w:tc>
        <w:tc>
          <w:tcPr>
            <w:tcW w:type="dxa" w:w="345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missing BOM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PC24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CPVC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Fitting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1,092.32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missing BOM</w:t>
            </w:r>
          </w:p>
        </w:tc>
      </w:tr>
      <w:tr>
        <w:tc>
          <w:tcPr>
            <w:tcW w:type="dxa" w:w="14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PW78</w:t>
            </w:r>
          </w:p>
        </w:tc>
        <w:tc>
          <w:tcPr>
            <w:tcW w:type="dxa" w:w="14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SWR</w:t>
            </w:r>
          </w:p>
        </w:tc>
        <w:tc>
          <w:tcPr>
            <w:tcW w:type="dxa" w:w="129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Pipe</w:t>
            </w:r>
          </w:p>
        </w:tc>
        <w:tc>
          <w:tcPr>
            <w:tcW w:type="dxa" w:w="14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1,090.00</w:t>
            </w:r>
          </w:p>
        </w:tc>
        <w:tc>
          <w:tcPr>
            <w:tcW w:type="dxa" w:w="345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missing route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CH72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CPVC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Fitting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645.96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missing route; rate fallback</w:t>
            </w:r>
          </w:p>
        </w:tc>
      </w:tr>
      <w:tr>
        <w:tc>
          <w:tcPr>
            <w:tcW w:type="dxa" w:w="14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CH76</w:t>
            </w:r>
          </w:p>
        </w:tc>
        <w:tc>
          <w:tcPr>
            <w:tcW w:type="dxa" w:w="14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CPVC</w:t>
            </w:r>
          </w:p>
        </w:tc>
        <w:tc>
          <w:tcPr>
            <w:tcW w:type="dxa" w:w="129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Fitting</w:t>
            </w:r>
          </w:p>
        </w:tc>
        <w:tc>
          <w:tcPr>
            <w:tcW w:type="dxa" w:w="14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518.84</w:t>
            </w:r>
          </w:p>
        </w:tc>
        <w:tc>
          <w:tcPr>
            <w:tcW w:type="dxa" w:w="345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missing route; rate fallback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CM32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CPVC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Fitting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483.60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missing BOM</w:t>
            </w:r>
          </w:p>
        </w:tc>
      </w:tr>
      <w:tr>
        <w:tc>
          <w:tcPr>
            <w:tcW w:type="dxa" w:w="14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CH78</w:t>
            </w:r>
          </w:p>
        </w:tc>
        <w:tc>
          <w:tcPr>
            <w:tcW w:type="dxa" w:w="14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CPVC</w:t>
            </w:r>
          </w:p>
        </w:tc>
        <w:tc>
          <w:tcPr>
            <w:tcW w:type="dxa" w:w="129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Fitting</w:t>
            </w:r>
          </w:p>
        </w:tc>
        <w:tc>
          <w:tcPr>
            <w:tcW w:type="dxa" w:w="14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482.80</w:t>
            </w:r>
          </w:p>
        </w:tc>
        <w:tc>
          <w:tcPr>
            <w:tcW w:type="dxa" w:w="345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missing route; rate fallback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PC25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CPVC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Fitting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473.32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missing BOM</w:t>
            </w:r>
          </w:p>
        </w:tc>
      </w:tr>
      <w:tr>
        <w:tc>
          <w:tcPr>
            <w:tcW w:type="dxa" w:w="14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UH78-S</w:t>
            </w:r>
          </w:p>
        </w:tc>
        <w:tc>
          <w:tcPr>
            <w:tcW w:type="dxa" w:w="14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UPVC</w:t>
            </w:r>
          </w:p>
        </w:tc>
        <w:tc>
          <w:tcPr>
            <w:tcW w:type="dxa" w:w="129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Fitting</w:t>
            </w:r>
          </w:p>
        </w:tc>
        <w:tc>
          <w:tcPr>
            <w:tcW w:type="dxa" w:w="14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393.60</w:t>
            </w:r>
          </w:p>
        </w:tc>
        <w:tc>
          <w:tcPr>
            <w:tcW w:type="dxa" w:w="345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missing BOM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PW75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SWR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Pipe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368.52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missing route</w:t>
            </w:r>
          </w:p>
        </w:tc>
      </w:tr>
      <w:tr>
        <w:tc>
          <w:tcPr>
            <w:tcW w:type="dxa" w:w="14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UH72</w:t>
            </w:r>
          </w:p>
        </w:tc>
        <w:tc>
          <w:tcPr>
            <w:tcW w:type="dxa" w:w="14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UPVC</w:t>
            </w:r>
          </w:p>
        </w:tc>
        <w:tc>
          <w:tcPr>
            <w:tcW w:type="dxa" w:w="129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Fitting</w:t>
            </w:r>
          </w:p>
        </w:tc>
        <w:tc>
          <w:tcPr>
            <w:tcW w:type="dxa" w:w="14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211.52</w:t>
            </w:r>
          </w:p>
        </w:tc>
        <w:tc>
          <w:tcPr>
            <w:tcW w:type="dxa" w:w="345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missing BOM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CH80F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CPVC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Fitting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184.28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missing BOM</w:t>
            </w:r>
          </w:p>
        </w:tc>
      </w:tr>
      <w:tr>
        <w:tc>
          <w:tcPr>
            <w:tcW w:type="dxa" w:w="14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U26NL</w:t>
            </w:r>
          </w:p>
        </w:tc>
        <w:tc>
          <w:tcPr>
            <w:tcW w:type="dxa" w:w="14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UPVC</w:t>
            </w:r>
          </w:p>
        </w:tc>
        <w:tc>
          <w:tcPr>
            <w:tcW w:type="dxa" w:w="129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Fitting</w:t>
            </w:r>
          </w:p>
        </w:tc>
        <w:tc>
          <w:tcPr>
            <w:tcW w:type="dxa" w:w="14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162.45</w:t>
            </w:r>
          </w:p>
        </w:tc>
        <w:tc>
          <w:tcPr>
            <w:tcW w:type="dxa" w:w="345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missing BOM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PW73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SWR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Pipe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155.50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missing route; rate fallback</w:t>
            </w:r>
          </w:p>
        </w:tc>
      </w:tr>
      <w:tr>
        <w:tc>
          <w:tcPr>
            <w:tcW w:type="dxa" w:w="14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UH76</w:t>
            </w:r>
          </w:p>
        </w:tc>
        <w:tc>
          <w:tcPr>
            <w:tcW w:type="dxa" w:w="14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UPVC</w:t>
            </w:r>
          </w:p>
        </w:tc>
        <w:tc>
          <w:tcPr>
            <w:tcW w:type="dxa" w:w="129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Fitting</w:t>
            </w:r>
          </w:p>
        </w:tc>
        <w:tc>
          <w:tcPr>
            <w:tcW w:type="dxa" w:w="14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151.27</w:t>
            </w:r>
          </w:p>
        </w:tc>
        <w:tc>
          <w:tcPr>
            <w:tcW w:type="dxa" w:w="345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missing BOM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RL03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SWR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Fitting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138.71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missing BOM</w:t>
            </w:r>
          </w:p>
        </w:tc>
      </w:tr>
      <w:tr>
        <w:tc>
          <w:tcPr>
            <w:tcW w:type="dxa" w:w="14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CM26</w:t>
            </w:r>
          </w:p>
        </w:tc>
        <w:tc>
          <w:tcPr>
            <w:tcW w:type="dxa" w:w="14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CPVC</w:t>
            </w:r>
          </w:p>
        </w:tc>
        <w:tc>
          <w:tcPr>
            <w:tcW w:type="dxa" w:w="129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Fitting</w:t>
            </w:r>
          </w:p>
        </w:tc>
        <w:tc>
          <w:tcPr>
            <w:tcW w:type="dxa" w:w="144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125.00</w:t>
            </w:r>
          </w:p>
        </w:tc>
        <w:tc>
          <w:tcPr>
            <w:tcW w:type="dxa" w:w="345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missing BOM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CH74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CPVC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Fitting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93.00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missing route; rate fallback</w:t>
            </w:r>
          </w:p>
        </w:tc>
      </w:tr>
    </w:tbl>
    <w:p>
      <w:pPr>
        <w:spacing w:after="0"/>
      </w:pPr>
    </w:p>
    <w:p>
      <w:pPr>
        <w:pStyle w:val="Heading1"/>
      </w:pPr>
      <w:r>
        <w:t>MC.1 — Single scheduler probe</w:t>
      </w:r>
    </w:p>
    <w:p>
      <w:r>
        <w:t>One HTTP request was sent with the documented schema: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Request field</w:t>
            </w:r>
          </w:p>
        </w:tc>
        <w:tc>
          <w:tcPr>
            <w:tcW w:type="dxa" w:w="67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segment</w:t>
            </w:r>
          </w:p>
        </w:tc>
        <w:tc>
          <w:tcPr>
            <w:tcW w:type="dxa" w:w="67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PLUMBING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month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2026-09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kind</w:t>
            </w:r>
          </w:p>
        </w:tc>
        <w:tc>
          <w:tcPr>
            <w:tcW w:type="dxa" w:w="67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pipe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week_days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[6, 6, 6, 7]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demand line 1</w:t>
            </w:r>
          </w:p>
        </w:tc>
        <w:tc>
          <w:tcPr>
            <w:tcW w:type="dxa" w:w="67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PS-2 • CPVC • 1,000 pcs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demand line 2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PS-3 • CPVC • 1,000 pcs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demand line 3</w:t>
            </w:r>
          </w:p>
        </w:tc>
        <w:tc>
          <w:tcPr>
            <w:tcW w:type="dxa" w:w="67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PU-13 • UPVC • 500 pcs</w:t>
            </w:r>
          </w:p>
        </w:tc>
      </w:tr>
    </w:tbl>
    <w:p>
      <w:pPr>
        <w:spacing w:after="0"/>
      </w:pPr>
    </w:p>
    <w:p>
      <w:r>
        <w:t>Observed response: HTTP 200. All three lines appeared in coverage.items in request order. All three were status=schedulable. data_limited and unfinished were empty.</w:t>
      </w:r>
    </w:p>
    <w:p>
      <w:pPr>
        <w:pStyle w:val="Heading2"/>
      </w:pPr>
      <w:r>
        <w:t>Response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Observed value</w:t>
            </w:r>
          </w:p>
        </w:tc>
      </w:tr>
      <w:tr>
        <w:tc>
          <w:tcPr>
            <w:tcW w:type="dxa" w:w="43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submitted_requested_pcs</w:t>
            </w:r>
          </w:p>
        </w:tc>
        <w:tc>
          <w:tcPr>
            <w:tcW w:type="dxa" w:w="532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2,500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schedulable_requested_pcs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2,500</w:t>
            </w:r>
          </w:p>
        </w:tc>
      </w:tr>
      <w:tr>
        <w:tc>
          <w:tcPr>
            <w:tcW w:type="dxa" w:w="43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data_limited_requested_pcs</w:t>
            </w:r>
          </w:p>
        </w:tc>
        <w:tc>
          <w:tcPr>
            <w:tcW w:type="dxa" w:w="532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capacity_limited_gross_pcs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</w:tr>
      <w:tr>
        <w:tc>
          <w:tcPr>
            <w:tcW w:type="dxa" w:w="43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modelled_gross_pcs</w:t>
            </w:r>
          </w:p>
        </w:tc>
        <w:tc>
          <w:tcPr>
            <w:tcW w:type="dxa" w:w="532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2,789.2512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scheduled_gross_pcs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2,789.2512</w:t>
            </w:r>
          </w:p>
        </w:tc>
      </w:tr>
      <w:tr>
        <w:tc>
          <w:tcPr>
            <w:tcW w:type="dxa" w:w="43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total_capacity_hrs</w:t>
            </w:r>
          </w:p>
        </w:tc>
        <w:tc>
          <w:tcPr>
            <w:tcW w:type="dxa" w:w="532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4,500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total_scheduled_hrs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21.8</w:t>
            </w:r>
          </w:p>
        </w:tc>
      </w:tr>
      <w:tr>
        <w:tc>
          <w:tcPr>
            <w:tcW w:type="dxa" w:w="43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total_idle_hrs</w:t>
            </w:r>
          </w:p>
        </w:tc>
        <w:tc>
          <w:tcPr>
            <w:tcW w:type="dxa" w:w="532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4,440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total_changeovers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</w:tr>
      <w:tr>
        <w:tc>
          <w:tcPr>
            <w:tcW w:type="dxa" w:w="432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total_excess_kg</w:t>
            </w:r>
          </w:p>
        </w:tc>
        <w:tc>
          <w:tcPr>
            <w:tcW w:type="dxa" w:w="532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6,292.3</w:t>
            </w:r>
          </w:p>
        </w:tc>
      </w:tr>
    </w:tbl>
    <w:p>
      <w:pPr>
        <w:spacing w:after="0"/>
      </w:pPr>
    </w:p>
    <w:p>
      <w:pPr>
        <w:pStyle w:val="Heading2"/>
      </w:pPr>
      <w:r>
        <w:t>Observed top-level response fields</w:t>
      </w:r>
    </w:p>
    <w:p>
      <w:pPr>
        <w:spacing w:after="80"/>
        <w:ind w:left="288"/>
      </w:pPr>
      <w:r>
        <w:rPr>
          <w:rFonts w:ascii="Courier New" w:hAnsi="Courier New"/>
          <w:color w:val="1F4E79"/>
          <w:sz w:val="17"/>
        </w:rPr>
        <w:t>allocations, blocks, coverage, data_limited, demand_reconciliation, downtime_hours_lost,</w:t>
        <w:br/>
        <w:t>downtime_machine_days, effective_month, kind, params_used, segment, total_capacity_hrs,</w:t>
        <w:br/>
        <w:t>total_changeovers, total_excess_kg, total_idle_hrs, total_scheduled_hrs, unfinished,</w:t>
        <w:br/>
        <w:t>week_days, weekly_fill</w:t>
      </w:r>
    </w:p>
    <w:p>
      <w:r>
        <w:t>The coverage entries included route, BOM, capable-machine, rate-provenance, requested-piece, status, and reason fields. The response also echoed params_used.week_days as [6, 6, 6, 7].</w:t>
      </w:r>
    </w:p>
    <w:p>
      <w:pPr>
        <w:pStyle w:val="Heading1"/>
      </w:pPr>
      <w:r>
        <w:t>MC.2 — Current parser behavior</w:t>
      </w:r>
    </w:p>
    <w:p>
      <w:r>
        <w:t>The current Pass 2 adapter reads the following fields:</w:t>
      </w:r>
    </w:p>
    <w:p>
      <w:pPr>
        <w:pStyle w:val="ListBullet"/>
        <w:spacing w:after="40"/>
      </w:pPr>
      <w:r>
        <w:t>kind</w:t>
      </w:r>
    </w:p>
    <w:p>
      <w:pPr>
        <w:pStyle w:val="ListBullet"/>
        <w:spacing w:after="40"/>
      </w:pPr>
      <w:r>
        <w:t>blocks</w:t>
      </w:r>
    </w:p>
    <w:p>
      <w:pPr>
        <w:pStyle w:val="ListBullet"/>
        <w:spacing w:after="40"/>
      </w:pPr>
      <w:r>
        <w:t>weekly_fill</w:t>
      </w:r>
    </w:p>
    <w:p>
      <w:pPr>
        <w:pStyle w:val="ListBullet"/>
        <w:spacing w:after="40"/>
      </w:pPr>
      <w:r>
        <w:t>unfinished</w:t>
      </w:r>
    </w:p>
    <w:p>
      <w:pPr>
        <w:pStyle w:val="ListBullet"/>
        <w:spacing w:after="40"/>
      </w:pPr>
      <w:r>
        <w:t>week_days</w:t>
      </w:r>
    </w:p>
    <w:p>
      <w:pPr>
        <w:pStyle w:val="ListBullet"/>
        <w:spacing w:after="40"/>
      </w:pPr>
      <w:r>
        <w:t>Capacity, scheduled-hour, idle-hour, downtime, and unfinished totals</w:t>
      </w:r>
    </w:p>
    <w:p>
      <w:pPr>
        <w:pStyle w:val="ListBullet"/>
        <w:spacing w:after="40"/>
      </w:pPr>
      <w:r>
        <w:t>unfinished[].remaining_pcs, unfinished[].remaining_kg, unfinished[].remaining_hours</w:t>
      </w:r>
    </w:p>
    <w:p>
      <w:pPr>
        <w:pStyle w:val="ListBullet"/>
        <w:spacing w:after="40"/>
      </w:pPr>
      <w:r>
        <w:t>unfinished[].capable_machines</w:t>
      </w:r>
    </w:p>
    <w:p>
      <w:r>
        <w:t>It does not structurally read coverage.items, data_limited, or demand_reconciliation.</w:t>
      </w:r>
    </w:p>
    <w:p>
      <w:pPr>
        <w:pStyle w:val="Heading2"/>
      </w:pPr>
      <w:r>
        <w:t>Behavior for data-limited rows</w:t>
      </w:r>
    </w:p>
    <w:p>
      <w:pPr>
        <w:pStyle w:val="ListBullet"/>
        <w:spacing w:after="40"/>
      </w:pPr>
      <w:r>
        <w:t>A line in data_limited but absent from blocks and unfinished is not explicitly reported as data-limited.</w:t>
      </w:r>
    </w:p>
    <w:p>
      <w:pPr>
        <w:pStyle w:val="ListBullet"/>
        <w:spacing w:after="40"/>
      </w:pPr>
      <w:r>
        <w:t>It is not treated as unfinished.</w:t>
      </w:r>
    </w:p>
    <w:p>
      <w:pPr>
        <w:pStyle w:val="ListBullet"/>
        <w:spacing w:after="40"/>
      </w:pPr>
      <w:r>
        <w:t>At parse level, scheduled pieces are derived as demand minus unfinished pieces, so the line can be counted as scheduled when unfinished is empty.</w:t>
      </w:r>
    </w:p>
    <w:p>
      <w:pPr>
        <w:pStyle w:val="ListBullet"/>
        <w:spacing w:after="40"/>
      </w:pPr>
      <w:r>
        <w:t>In corrective allocation, a line with no non-idle machine-hour blocks can later raise the error that the scheduled item has no non-idle corrective machine-hour blocks.</w:t>
      </w:r>
    </w:p>
    <w:p>
      <w:pPr>
        <w:pStyle w:val="Heading2"/>
      </w:pPr>
      <w:r>
        <w:t>Behavior for unfinished</w:t>
      </w:r>
    </w:p>
    <w:p>
      <w:pPr>
        <w:pStyle w:val="ListBullet"/>
        <w:spacing w:after="40"/>
      </w:pPr>
      <w:r>
        <w:t>If unfinished is absent, it is treated as an empty array.</w:t>
      </w:r>
    </w:p>
    <w:p>
      <w:pPr>
        <w:pStyle w:val="ListBullet"/>
        <w:spacing w:after="40"/>
      </w:pPr>
      <w:r>
        <w:t>If an unfinished row lacks remaining_pcs or remaining_kg, parsing throws an explicit validation error.</w:t>
      </w:r>
    </w:p>
    <w:p>
      <w:pPr>
        <w:pStyle w:val="ListBullet"/>
        <w:spacing w:after="40"/>
      </w:pPr>
      <w:r>
        <w:t>The parser expects remaining_pcs and remaining_kg on each unfinished row; those are not optional in the current implementation.</w:t>
      </w:r>
    </w:p>
    <w:p>
      <w:pPr>
        <w:pStyle w:val="Heading1"/>
      </w:pPr>
      <w:r>
        <w:t>Recorded factual corrections</w:t>
      </w:r>
    </w:p>
    <w:p>
      <w:pPr>
        <w:pStyle w:val="ListBullet"/>
        <w:spacing w:after="40"/>
      </w:pPr>
      <w:r>
        <w:t>MC8 is not locked out and has one AGRI route. MC7 has configured hours but zero routing rows.</w:t>
      </w:r>
    </w:p>
    <w:p>
      <w:pPr>
        <w:pStyle w:val="ListBullet"/>
        <w:spacing w:after="40"/>
      </w:pPr>
      <w:r>
        <w:t>The scheduler endpoint is POST /data-api/v1/schedule and is non-persistent. A local plan_runs record is the project’s persistence of a preview, not a Prayag plan run.</w:t>
      </w:r>
    </w:p>
    <w:p>
      <w:pPr>
        <w:pStyle w:val="ListBullet"/>
        <w:spacing w:after="40"/>
      </w:pPr>
      <w:r>
        <w:t>Prayag capacity is machine-hours, not a pieces-per-day capacity table. Pipe demand uses BOM kilograms and kg/hour; fitting demand uses item-machine cycle/cavity rates.</w:t>
      </w:r>
    </w:p>
    <w:p>
      <w:pPr>
        <w:pStyle w:val="ListBullet"/>
        <w:spacing w:after="40"/>
      </w:pPr>
      <w:r>
        <w:t>The August benchmark previously described as 112 lines, 1,003,518 pieces, 80.8%, and 99.59% is marked unevidenced and is not used as a benchmark.</w:t>
      </w:r>
    </w:p>
    <w:p>
      <w:pPr>
        <w:pStyle w:val="Heading1"/>
      </w:pPr>
      <w:r>
        <w:t>Implementation status</w:t>
      </w:r>
    </w:p>
    <w:p>
      <w:pPr>
        <w:pStyle w:val="ListBullet"/>
        <w:spacing w:after="40"/>
      </w:pPr>
      <w:r>
        <w:t>replit.md was updated with the four factual corrections and the unevidenced August benchmark note.</w:t>
      </w:r>
    </w:p>
    <w:p>
      <w:pPr>
        <w:pStyle w:val="ListBullet"/>
        <w:spacing w:after="40"/>
      </w:pPr>
      <w:r>
        <w:t>The scheduler parser was inspected only; no parser or planning behavior was changed.</w:t>
      </w:r>
    </w:p>
    <w:p>
      <w:pPr>
        <w:pStyle w:val="ListBullet"/>
        <w:spacing w:after="40"/>
      </w:pPr>
      <w:r>
        <w:t>No publish or deployment action was taken.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September 2026 • Read-only investigation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Prayag India • Machine Contract Investigation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 w:eastAsia="Aptos"/>
      <w:color w:val="59595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Contract Investigation — September 2026 Plumbing Scheduler</dc:title>
  <dc:subject>Read-only MC.0, MC.1, and MC.2 investigation</dc:subject>
  <dc:creator>Replit Agent</dc:creator>
  <cp:keywords>Prayag, Plumbing, scheduler, MC.0, MC.1, MC.2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