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Plumbing Stage B</w:t>
      </w:r>
    </w:p>
    <w:p>
      <w:pPr>
        <w:jc w:val="center"/>
      </w:pPr>
      <w:r>
        <w:rPr>
          <w:b/>
          <w:color w:val="1F4E79"/>
          <w:sz w:val="32"/>
        </w:rPr>
        <w:t>PB3.0b and PB3.4 Read-only Evidence Report</w:t>
      </w:r>
    </w:p>
    <w:p>
      <w:pPr>
        <w:jc w:val="center"/>
      </w:pPr>
      <w:r>
        <w:rPr>
          <w:i/>
        </w:rPr>
        <w:t>8 September 2026  |  Scope: reviewed exclusion behavior, class-c evidence, and multiplier comparison</w:t>
      </w:r>
    </w:p>
    <w:p>
      <w:pPr>
        <w:spacing w:after="100"/>
      </w:pPr>
      <w:r>
        <w:t>Purpose: record the read-only evidence gathered for the revised PB3 query without changing application behavior or making a business decision about roster expansion.</w:t>
      </w:r>
    </w:p>
    <w:p>
      <w:pPr>
        <w:pStyle w:val="Heading1"/>
      </w:pPr>
      <w:r>
        <w:t>Boundary and constraints</w:t>
      </w:r>
    </w:p>
    <w:p>
      <w:pPr>
        <w:pStyle w:val="ListBullet"/>
        <w:spacing w:after="40"/>
      </w:pPr>
      <w:r>
        <w:t>No code, overrides, uploads, source rows, normalizers, scheduler settings, plan runs, recomputes, or deployments were changed.</w:t>
      </w:r>
    </w:p>
    <w:p>
      <w:pPr>
        <w:pStyle w:val="ListBullet"/>
        <w:spacing w:after="40"/>
      </w:pPr>
      <w:r>
        <w:t>No recompute, recompute-monthly, or GET /api/plan/validate operation was run.</w:t>
      </w:r>
    </w:p>
    <w:p>
      <w:pPr>
        <w:pStyle w:val="ListBullet"/>
        <w:spacing w:after="40"/>
      </w:pPr>
      <w:r>
        <w:t>PTMT Stage H4a and Stage I remain outside this work.</w:t>
      </w:r>
    </w:p>
    <w:p>
      <w:pPr>
        <w:pStyle w:val="ListBullet"/>
        <w:spacing w:after="40"/>
      </w:pPr>
      <w:r>
        <w:t>The September Plumbing roster was read from the CPVC, UPVC, SWR, and AGRI workbook tabs: 1,120 effective item rows, all with a per-row workbook multiplier.</w:t>
      </w:r>
    </w:p>
    <w:p>
      <w:pPr>
        <w:pStyle w:val="ListBullet"/>
        <w:spacing w:after="40"/>
      </w:pPr>
      <w:r>
        <w:t>The estimates in this report are evidence and scenarios, not approvals or production plan outputs.</w:t>
      </w:r>
    </w:p>
    <w:p>
      <w:pPr>
        <w:pStyle w:val="Heading1"/>
      </w:pPr>
      <w:r>
        <w:t>Executive summary</w:t>
      </w:r>
    </w:p>
    <w:p>
      <w:pPr>
        <w:pStyle w:val="ListBullet"/>
        <w:spacing w:after="40"/>
      </w:pPr>
      <w:r>
        <w:t>The reviewed exclusion guard is a combination of source role, quantity ceilings, resolution-loss ceilings, and an exclusion fingerprint. It is not a code-list or category-list approval.</w:t>
      </w:r>
    </w:p>
    <w:p>
      <w:pPr>
        <w:pStyle w:val="ListBullet"/>
        <w:spacing w:after="40"/>
      </w:pPr>
      <w:r>
        <w:t>The policy does not distinguish class a (unplanned division/category) from class c (absent from Prayag’s planning workbook); that remains a business classification.</w:t>
      </w:r>
    </w:p>
    <w:p>
      <w:pPr>
        <w:pStyle w:val="ListBullet"/>
        <w:spacing w:after="40"/>
      </w:pPr>
      <w:r>
        <w:t>The 106 class-c rows contain 66,802 positive pieces and -5,701 negative pieces, for a net directional quantity of 61,101 pieces.</w:t>
      </w:r>
    </w:p>
    <w:p>
      <w:pPr>
        <w:pStyle w:val="ListBullet"/>
        <w:spacing w:after="40"/>
      </w:pPr>
      <w:r>
        <w:t>The class-c rows are scattered through the source: 106 rows form 16 contiguous runs across positions 329–1,051.</w:t>
      </w:r>
    </w:p>
    <w:p>
      <w:pPr>
        <w:pStyle w:val="ListBullet"/>
        <w:spacing w:after="40"/>
      </w:pPr>
      <w:r>
        <w:t>Using the current stored planning inputs, the estimated September total ranges from 2,060,819.26 under engine suggestions to 2,308,629.40 under per-row workbook multipliers.</w:t>
      </w:r>
    </w:p>
    <w:p>
      <w:pPr>
        <w:pStyle w:val="Heading1"/>
      </w:pPr>
      <w:r>
        <w:t>PB3.0b.1 — Reviewed exclusion behavior</w:t>
      </w:r>
    </w:p>
    <w:p>
      <w:pPr>
        <w:spacing w:after="100"/>
      </w:pPr>
      <w:r>
        <w:t>The policy is keyed by segment and source role. It contains a maximum unmatched quantity, a maximum resolution-loss quantity, a reviewed fingerprint, and rationale. The fingerprint is calculated from detailed excluded diagnostic rows.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center"/>
            <w:shd w:fill="17365D"/>
          </w:tcPr>
          <w:p>
            <w:pPr>
              <w:spacing w:after="0"/>
            </w:pPr>
            <w:r/>
            <w:r>
              <w:rPr>
                <w:b/>
                <w:color w:val="FFFFFF"/>
                <w:sz w:val="16"/>
              </w:rPr>
              <w:t>Source role</w:t>
            </w:r>
          </w:p>
        </w:tc>
        <w:tc>
          <w:tcPr>
            <w:tcW w:type="dxa" w:w="1584"/>
            <w:vAlign w:val="center"/>
            <w:shd w:fill="17365D"/>
          </w:tcPr>
          <w:p>
            <w:pPr>
              <w:spacing w:after="0"/>
            </w:pPr>
            <w:r/>
            <w:r>
              <w:rPr>
                <w:b/>
                <w:color w:val="FFFFFF"/>
                <w:sz w:val="16"/>
              </w:rPr>
              <w:t>Max unmatched</w:t>
            </w:r>
          </w:p>
        </w:tc>
        <w:tc>
          <w:tcPr>
            <w:tcW w:type="dxa" w:w="1800"/>
            <w:vAlign w:val="center"/>
            <w:shd w:fill="17365D"/>
          </w:tcPr>
          <w:p>
            <w:pPr>
              <w:spacing w:after="0"/>
            </w:pPr>
            <w:r/>
            <w:r>
              <w:rPr>
                <w:b/>
                <w:color w:val="FFFFFF"/>
                <w:sz w:val="16"/>
              </w:rPr>
              <w:t>Max resolution loss</w:t>
            </w:r>
          </w:p>
        </w:tc>
        <w:tc>
          <w:tcPr>
            <w:tcW w:type="dxa" w:w="5040"/>
            <w:vAlign w:val="center"/>
            <w:shd w:fill="17365D"/>
          </w:tcPr>
          <w:p>
            <w:pPr>
              <w:spacing w:after="0"/>
            </w:pPr>
            <w:r/>
            <w:r>
              <w:rPr>
                <w:b/>
                <w:color w:val="FFFFFF"/>
                <w:sz w:val="16"/>
              </w:rPr>
              <w:t>Reviewed fingerprint</w:t>
            </w:r>
          </w:p>
        </w:tc>
      </w:tr>
      <w:tr>
        <w:tc>
          <w:tcPr>
            <w:tcW w:type="dxa" w:w="2592"/>
            <w:vAlign w:val="center"/>
          </w:tcPr>
          <w:p>
            <w:pPr>
              <w:spacing w:after="0"/>
            </w:pPr>
            <w:r/>
            <w:r>
              <w:rPr>
                <w:b w:val="0"/>
                <w:sz w:val="16"/>
              </w:rPr>
              <w:t>Plumbing: pending_current</w:t>
            </w:r>
          </w:p>
        </w:tc>
        <w:tc>
          <w:tcPr>
            <w:tcW w:type="dxa" w:w="1584"/>
            <w:vAlign w:val="center"/>
          </w:tcPr>
          <w:p>
            <w:pPr>
              <w:spacing w:after="0"/>
            </w:pPr>
            <w:r/>
            <w:r>
              <w:rPr>
                <w:b w:val="0"/>
                <w:sz w:val="16"/>
              </w:rPr>
              <w:t>234</w:t>
            </w:r>
          </w:p>
        </w:tc>
        <w:tc>
          <w:tcPr>
            <w:tcW w:type="dxa" w:w="1800"/>
            <w:vAlign w:val="center"/>
          </w:tcPr>
          <w:p>
            <w:pPr>
              <w:spacing w:after="0"/>
            </w:pPr>
            <w:r/>
            <w:r>
              <w:rPr>
                <w:b w:val="0"/>
                <w:sz w:val="16"/>
              </w:rPr>
              <w:t>0</w:t>
            </w:r>
          </w:p>
        </w:tc>
        <w:tc>
          <w:tcPr>
            <w:tcW w:type="dxa" w:w="5040"/>
            <w:vAlign w:val="center"/>
          </w:tcPr>
          <w:p>
            <w:pPr>
              <w:spacing w:after="0"/>
            </w:pPr>
            <w:r/>
            <w:r>
              <w:rPr>
                <w:b w:val="0"/>
                <w:sz w:val="16"/>
              </w:rPr>
              <w:t>9380b02828fdb193462269298ab9c7db62e8591a9ebd436a2f97ddad203b0504</w:t>
            </w:r>
          </w:p>
        </w:tc>
      </w:tr>
      <w:tr>
        <w:tc>
          <w:tcPr>
            <w:tcW w:type="dxa" w:w="2592"/>
            <w:vAlign w:val="center"/>
          </w:tcPr>
          <w:p>
            <w:pPr>
              <w:spacing w:after="0"/>
            </w:pPr>
            <w:r/>
            <w:r>
              <w:rPr>
                <w:b w:val="0"/>
                <w:sz w:val="16"/>
              </w:rPr>
              <w:t>Plumbing: pending_last_month</w:t>
            </w:r>
          </w:p>
        </w:tc>
        <w:tc>
          <w:tcPr>
            <w:tcW w:type="dxa" w:w="1584"/>
            <w:vAlign w:val="center"/>
          </w:tcPr>
          <w:p>
            <w:pPr>
              <w:spacing w:after="0"/>
            </w:pPr>
            <w:r/>
            <w:r>
              <w:rPr>
                <w:b w:val="0"/>
                <w:sz w:val="16"/>
              </w:rPr>
              <w:t>13,583</w:t>
            </w:r>
          </w:p>
        </w:tc>
        <w:tc>
          <w:tcPr>
            <w:tcW w:type="dxa" w:w="1800"/>
            <w:vAlign w:val="center"/>
          </w:tcPr>
          <w:p>
            <w:pPr>
              <w:spacing w:after="0"/>
            </w:pPr>
            <w:r/>
            <w:r>
              <w:rPr>
                <w:b w:val="0"/>
                <w:sz w:val="16"/>
              </w:rPr>
              <w:t>0</w:t>
            </w:r>
          </w:p>
        </w:tc>
        <w:tc>
          <w:tcPr>
            <w:tcW w:type="dxa" w:w="5040"/>
            <w:vAlign w:val="center"/>
          </w:tcPr>
          <w:p>
            <w:pPr>
              <w:spacing w:after="0"/>
            </w:pPr>
            <w:r/>
            <w:r>
              <w:rPr>
                <w:b w:val="0"/>
                <w:sz w:val="16"/>
              </w:rPr>
              <w:t>e9a898b6fb97ceb7c52da36e8916c2cf5823339737090f77e8ee04e82e882446</w:t>
            </w:r>
          </w:p>
        </w:tc>
      </w:tr>
    </w:tbl>
    <w:p>
      <w:pPr>
        <w:spacing w:after="0"/>
      </w:pPr>
    </w:p>
    <w:p>
      <w:pPr>
        <w:spacing w:after="100"/>
      </w:pPr>
      <w:r>
        <w:t>The policy does not contain an explicit accepted code list or category list. It accepts the combination of reconciliation identity, quantity ceilings, and the exact reviewed exclusion fingerprint.</w:t>
      </w:r>
    </w:p>
    <w:p>
      <w:pPr>
        <w:pStyle w:val="Heading2"/>
      </w:pPr>
      <w:r>
        <w:t>Class-a versus class-c distinction</w:t>
      </w:r>
    </w:p>
    <w:p>
      <w:pPr>
        <w:spacing w:after="100"/>
      </w:pPr>
      <w:r>
        <w:t>The runtime diagnostics distinguish technical outcomes such as NO_ROSTER_MATCH, AMBIGUOUS_ROSTER_MATCH, and COLOUR_MISMATCH. They do not encode the business distinction between class a and class c. A quantity ceiling therefore must not be interpreted as approval to expand the planning roster.</w:t>
      </w:r>
    </w:p>
    <w:p>
      <w:pPr>
        <w:pStyle w:val="Heading2"/>
      </w:pPr>
      <w:r>
        <w:t>Changed fingerprint behavior</w:t>
      </w:r>
    </w:p>
    <w:p>
      <w:pPr>
        <w:pStyle w:val="ListBullet"/>
        <w:spacing w:after="40"/>
      </w:pPr>
      <w:r>
        <w:t>A changed non-zero exclusion fingerprint fails the guard even when the quantity remains under the reviewed limit.</w:t>
      </w:r>
    </w:p>
    <w:p>
      <w:pPr>
        <w:pStyle w:val="ListBullet"/>
        <w:spacing w:after="40"/>
      </w:pPr>
      <w:r>
        <w:t>A quantity above the unmatched or resolution-loss ceiling fails the guard.</w:t>
      </w:r>
    </w:p>
    <w:p>
      <w:pPr>
        <w:pStyle w:val="ListBullet"/>
        <w:spacing w:after="40"/>
      </w:pPr>
      <w:r>
        <w:t>When unmatched plus resolution-loss quantity is effectively zero, fingerprint comparison is skipped; ordinary reconciliation and source-quantity checks still apply.</w:t>
      </w:r>
    </w:p>
    <w:p>
      <w:pPr>
        <w:pStyle w:val="ListBullet"/>
        <w:spacing w:after="40"/>
      </w:pPr>
      <w:r>
        <w:t>On failure, the current plan path refuses to build a partial plan.</w:t>
      </w:r>
    </w:p>
    <w:p>
      <w:pPr>
        <w:pStyle w:val="Heading2"/>
      </w:pPr>
      <w:r>
        <w:t>Review provenance</w:t>
      </w:r>
    </w:p>
    <w:p>
      <w:pPr>
        <w:spacing w:after="100"/>
      </w:pPr>
      <w:r>
        <w:t>The policy text does not record the exact human review date. Git history shows the reviewed Plumbing guard was published on 26 August 2026 at 12:25 UTC. The current policy references the August 2026 source boundary and upload #12. This is code/history provenance, not proof of the exact business-review meeting date.</w:t>
      </w:r>
    </w:p>
    <w:p>
      <w:pPr>
        <w:pStyle w:val="Heading1"/>
      </w:pPr>
      <w:r>
        <w:t>PB3.0b.2 — Class-c batch evidence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880"/>
            <w:vAlign w:val="center"/>
            <w:shd w:fill="17365D"/>
          </w:tcPr>
          <w:p>
            <w:pPr>
              <w:spacing w:after="0"/>
            </w:pPr>
            <w:r/>
            <w:r>
              <w:rPr>
                <w:b/>
                <w:color w:val="FFFFFF"/>
                <w:sz w:val="16"/>
              </w:rPr>
              <w:t>Family</w:t>
            </w:r>
          </w:p>
        </w:tc>
        <w:tc>
          <w:tcPr>
            <w:tcW w:type="dxa" w:w="1152"/>
            <w:vAlign w:val="center"/>
            <w:shd w:fill="17365D"/>
          </w:tcPr>
          <w:p>
            <w:pPr>
              <w:spacing w:after="0"/>
            </w:pPr>
            <w:r/>
            <w:r>
              <w:rPr>
                <w:b/>
                <w:color w:val="FFFFFF"/>
                <w:sz w:val="16"/>
              </w:rPr>
              <w:t>Codes</w:t>
            </w:r>
          </w:p>
        </w:tc>
        <w:tc>
          <w:tcPr>
            <w:tcW w:type="dxa" w:w="1440"/>
            <w:vAlign w:val="center"/>
            <w:shd w:fill="17365D"/>
          </w:tcPr>
          <w:p>
            <w:pPr>
              <w:spacing w:after="0"/>
            </w:pPr>
            <w:r/>
            <w:r>
              <w:rPr>
                <w:b/>
                <w:color w:val="FFFFFF"/>
                <w:sz w:val="16"/>
              </w:rPr>
              <w:t>Positive</w:t>
            </w:r>
          </w:p>
        </w:tc>
        <w:tc>
          <w:tcPr>
            <w:tcW w:type="dxa" w:w="1440"/>
            <w:vAlign w:val="center"/>
            <w:shd w:fill="17365D"/>
          </w:tcPr>
          <w:p>
            <w:pPr>
              <w:spacing w:after="0"/>
            </w:pPr>
            <w:r/>
            <w:r>
              <w:rPr>
                <w:b/>
                <w:color w:val="FFFFFF"/>
                <w:sz w:val="16"/>
              </w:rPr>
              <w:t>Negative</w:t>
            </w:r>
          </w:p>
        </w:tc>
        <w:tc>
          <w:tcPr>
            <w:tcW w:type="dxa" w:w="1440"/>
            <w:vAlign w:val="center"/>
            <w:shd w:fill="17365D"/>
          </w:tcPr>
          <w:p>
            <w:pPr>
              <w:spacing w:after="0"/>
            </w:pPr>
            <w:r/>
            <w:r>
              <w:rPr>
                <w:b/>
                <w:color w:val="FFFFFF"/>
                <w:sz w:val="16"/>
              </w:rPr>
              <w:t>Net</w:t>
            </w:r>
          </w:p>
        </w:tc>
      </w:tr>
      <w:tr>
        <w:tc>
          <w:tcPr>
            <w:tcW w:type="dxa" w:w="2880"/>
            <w:vAlign w:val="center"/>
          </w:tcPr>
          <w:p>
            <w:pPr>
              <w:spacing w:after="0"/>
            </w:pPr>
            <w:r/>
            <w:r>
              <w:rPr>
                <w:b w:val="0"/>
                <w:sz w:val="16"/>
              </w:rPr>
              <w:t>AGRI / AGRI-PIPE</w:t>
            </w:r>
          </w:p>
        </w:tc>
        <w:tc>
          <w:tcPr>
            <w:tcW w:type="dxa" w:w="1152"/>
            <w:vAlign w:val="center"/>
          </w:tcPr>
          <w:p>
            <w:pPr>
              <w:spacing w:after="0"/>
            </w:pPr>
            <w:r/>
            <w:r>
              <w:rPr>
                <w:b w:val="0"/>
                <w:sz w:val="16"/>
              </w:rPr>
              <w:t>76</w:t>
            </w:r>
          </w:p>
        </w:tc>
        <w:tc>
          <w:tcPr>
            <w:tcW w:type="dxa" w:w="1440"/>
            <w:vAlign w:val="center"/>
          </w:tcPr>
          <w:p>
            <w:pPr>
              <w:spacing w:after="0"/>
            </w:pPr>
            <w:r/>
            <w:r>
              <w:rPr>
                <w:b w:val="0"/>
                <w:sz w:val="16"/>
              </w:rPr>
              <w:t>59,896</w:t>
            </w:r>
          </w:p>
        </w:tc>
        <w:tc>
          <w:tcPr>
            <w:tcW w:type="dxa" w:w="1440"/>
            <w:vAlign w:val="center"/>
          </w:tcPr>
          <w:p>
            <w:pPr>
              <w:spacing w:after="0"/>
            </w:pPr>
            <w:r/>
            <w:r>
              <w:rPr>
                <w:b w:val="0"/>
                <w:sz w:val="16"/>
              </w:rPr>
              <w:t>-2,538</w:t>
            </w:r>
          </w:p>
        </w:tc>
        <w:tc>
          <w:tcPr>
            <w:tcW w:type="dxa" w:w="1440"/>
            <w:vAlign w:val="center"/>
          </w:tcPr>
          <w:p>
            <w:pPr>
              <w:spacing w:after="0"/>
            </w:pPr>
            <w:r/>
            <w:r>
              <w:rPr>
                <w:b w:val="0"/>
                <w:sz w:val="16"/>
              </w:rPr>
              <w:t>57,358</w:t>
            </w:r>
          </w:p>
        </w:tc>
      </w:tr>
      <w:tr>
        <w:tc>
          <w:tcPr>
            <w:tcW w:type="dxa" w:w="2880"/>
            <w:vAlign w:val="center"/>
          </w:tcPr>
          <w:p>
            <w:pPr>
              <w:spacing w:after="0"/>
            </w:pPr>
            <w:r/>
            <w:r>
              <w:rPr>
                <w:b w:val="0"/>
                <w:sz w:val="16"/>
              </w:rPr>
              <w:t>CPVC</w:t>
            </w:r>
          </w:p>
        </w:tc>
        <w:tc>
          <w:tcPr>
            <w:tcW w:type="dxa" w:w="1152"/>
            <w:vAlign w:val="center"/>
          </w:tcPr>
          <w:p>
            <w:pPr>
              <w:spacing w:after="0"/>
            </w:pPr>
            <w:r/>
            <w:r>
              <w:rPr>
                <w:b w:val="0"/>
                <w:sz w:val="16"/>
              </w:rPr>
              <w:t>11</w:t>
            </w:r>
          </w:p>
        </w:tc>
        <w:tc>
          <w:tcPr>
            <w:tcW w:type="dxa" w:w="1440"/>
            <w:vAlign w:val="center"/>
          </w:tcPr>
          <w:p>
            <w:pPr>
              <w:spacing w:after="0"/>
            </w:pPr>
            <w:r/>
            <w:r>
              <w:rPr>
                <w:b w:val="0"/>
                <w:sz w:val="16"/>
              </w:rPr>
              <w:t>546</w:t>
            </w:r>
          </w:p>
        </w:tc>
        <w:tc>
          <w:tcPr>
            <w:tcW w:type="dxa" w:w="1440"/>
            <w:vAlign w:val="center"/>
          </w:tcPr>
          <w:p>
            <w:pPr>
              <w:spacing w:after="0"/>
            </w:pPr>
            <w:r/>
            <w:r>
              <w:rPr>
                <w:b w:val="0"/>
                <w:sz w:val="16"/>
              </w:rPr>
              <w:t>-756</w:t>
            </w:r>
          </w:p>
        </w:tc>
        <w:tc>
          <w:tcPr>
            <w:tcW w:type="dxa" w:w="1440"/>
            <w:vAlign w:val="center"/>
          </w:tcPr>
          <w:p>
            <w:pPr>
              <w:spacing w:after="0"/>
            </w:pPr>
            <w:r/>
            <w:r>
              <w:rPr>
                <w:b w:val="0"/>
                <w:sz w:val="16"/>
              </w:rPr>
              <w:t>-210</w:t>
            </w:r>
          </w:p>
        </w:tc>
      </w:tr>
      <w:tr>
        <w:tc>
          <w:tcPr>
            <w:tcW w:type="dxa" w:w="2880"/>
            <w:vAlign w:val="center"/>
          </w:tcPr>
          <w:p>
            <w:pPr>
              <w:spacing w:after="0"/>
            </w:pPr>
            <w:r/>
            <w:r>
              <w:rPr>
                <w:b w:val="0"/>
                <w:sz w:val="16"/>
              </w:rPr>
              <w:t>SWR</w:t>
            </w:r>
          </w:p>
        </w:tc>
        <w:tc>
          <w:tcPr>
            <w:tcW w:type="dxa" w:w="1152"/>
            <w:vAlign w:val="center"/>
          </w:tcPr>
          <w:p>
            <w:pPr>
              <w:spacing w:after="0"/>
            </w:pPr>
            <w:r/>
            <w:r>
              <w:rPr>
                <w:b w:val="0"/>
                <w:sz w:val="16"/>
              </w:rPr>
              <w:t>11</w:t>
            </w:r>
          </w:p>
        </w:tc>
        <w:tc>
          <w:tcPr>
            <w:tcW w:type="dxa" w:w="1440"/>
            <w:vAlign w:val="center"/>
          </w:tcPr>
          <w:p>
            <w:pPr>
              <w:spacing w:after="0"/>
            </w:pPr>
            <w:r/>
            <w:r>
              <w:rPr>
                <w:b w:val="0"/>
                <w:sz w:val="16"/>
              </w:rPr>
              <w:t>4,838</w:t>
            </w:r>
          </w:p>
        </w:tc>
        <w:tc>
          <w:tcPr>
            <w:tcW w:type="dxa" w:w="1440"/>
            <w:vAlign w:val="center"/>
          </w:tcPr>
          <w:p>
            <w:pPr>
              <w:spacing w:after="0"/>
            </w:pPr>
            <w:r/>
            <w:r>
              <w:rPr>
                <w:b w:val="0"/>
                <w:sz w:val="16"/>
              </w:rPr>
              <w:t>-2,087</w:t>
            </w:r>
          </w:p>
        </w:tc>
        <w:tc>
          <w:tcPr>
            <w:tcW w:type="dxa" w:w="1440"/>
            <w:vAlign w:val="center"/>
          </w:tcPr>
          <w:p>
            <w:pPr>
              <w:spacing w:after="0"/>
            </w:pPr>
            <w:r/>
            <w:r>
              <w:rPr>
                <w:b w:val="0"/>
                <w:sz w:val="16"/>
              </w:rPr>
              <w:t>2,751</w:t>
            </w:r>
          </w:p>
        </w:tc>
      </w:tr>
      <w:tr>
        <w:tc>
          <w:tcPr>
            <w:tcW w:type="dxa" w:w="2880"/>
            <w:vAlign w:val="center"/>
          </w:tcPr>
          <w:p>
            <w:pPr>
              <w:spacing w:after="0"/>
            </w:pPr>
            <w:r/>
            <w:r>
              <w:rPr>
                <w:b w:val="0"/>
                <w:sz w:val="16"/>
              </w:rPr>
              <w:t>UPVC</w:t>
            </w:r>
          </w:p>
        </w:tc>
        <w:tc>
          <w:tcPr>
            <w:tcW w:type="dxa" w:w="1152"/>
            <w:vAlign w:val="center"/>
          </w:tcPr>
          <w:p>
            <w:pPr>
              <w:spacing w:after="0"/>
            </w:pPr>
            <w:r/>
            <w:r>
              <w:rPr>
                <w:b w:val="0"/>
                <w:sz w:val="16"/>
              </w:rPr>
              <w:t>8</w:t>
            </w:r>
          </w:p>
        </w:tc>
        <w:tc>
          <w:tcPr>
            <w:tcW w:type="dxa" w:w="1440"/>
            <w:vAlign w:val="center"/>
          </w:tcPr>
          <w:p>
            <w:pPr>
              <w:spacing w:after="0"/>
            </w:pPr>
            <w:r/>
            <w:r>
              <w:rPr>
                <w:b w:val="0"/>
                <w:sz w:val="16"/>
              </w:rPr>
              <w:t>1,522</w:t>
            </w:r>
          </w:p>
        </w:tc>
        <w:tc>
          <w:tcPr>
            <w:tcW w:type="dxa" w:w="1440"/>
            <w:vAlign w:val="center"/>
          </w:tcPr>
          <w:p>
            <w:pPr>
              <w:spacing w:after="0"/>
            </w:pPr>
            <w:r/>
            <w:r>
              <w:rPr>
                <w:b w:val="0"/>
                <w:sz w:val="16"/>
              </w:rPr>
              <w:t>-320</w:t>
            </w:r>
          </w:p>
        </w:tc>
        <w:tc>
          <w:tcPr>
            <w:tcW w:type="dxa" w:w="1440"/>
            <w:vAlign w:val="center"/>
          </w:tcPr>
          <w:p>
            <w:pPr>
              <w:spacing w:after="0"/>
            </w:pPr>
            <w:r/>
            <w:r>
              <w:rPr>
                <w:b w:val="0"/>
                <w:sz w:val="16"/>
              </w:rPr>
              <w:t>1,202</w:t>
            </w:r>
          </w:p>
        </w:tc>
      </w:tr>
      <w:tr>
        <w:tc>
          <w:tcPr>
            <w:tcW w:type="dxa" w:w="2880"/>
            <w:vAlign w:val="center"/>
          </w:tcPr>
          <w:p>
            <w:pPr>
              <w:spacing w:after="0"/>
            </w:pPr>
            <w:r/>
            <w:r>
              <w:rPr>
                <w:b w:val="0"/>
                <w:sz w:val="16"/>
              </w:rPr>
              <w:t>Total</w:t>
            </w:r>
          </w:p>
        </w:tc>
        <w:tc>
          <w:tcPr>
            <w:tcW w:type="dxa" w:w="1152"/>
            <w:vAlign w:val="center"/>
          </w:tcPr>
          <w:p>
            <w:pPr>
              <w:spacing w:after="0"/>
            </w:pPr>
            <w:r/>
            <w:r>
              <w:rPr>
                <w:b w:val="0"/>
                <w:sz w:val="16"/>
              </w:rPr>
              <w:t>106</w:t>
            </w:r>
          </w:p>
        </w:tc>
        <w:tc>
          <w:tcPr>
            <w:tcW w:type="dxa" w:w="1440"/>
            <w:vAlign w:val="center"/>
          </w:tcPr>
          <w:p>
            <w:pPr>
              <w:spacing w:after="0"/>
            </w:pPr>
            <w:r/>
            <w:r>
              <w:rPr>
                <w:b w:val="0"/>
                <w:sz w:val="16"/>
              </w:rPr>
              <w:t>66,802</w:t>
            </w:r>
          </w:p>
        </w:tc>
        <w:tc>
          <w:tcPr>
            <w:tcW w:type="dxa" w:w="1440"/>
            <w:vAlign w:val="center"/>
          </w:tcPr>
          <w:p>
            <w:pPr>
              <w:spacing w:after="0"/>
            </w:pPr>
            <w:r/>
            <w:r>
              <w:rPr>
                <w:b w:val="0"/>
                <w:sz w:val="16"/>
              </w:rPr>
              <w:t>-5,701</w:t>
            </w:r>
          </w:p>
        </w:tc>
        <w:tc>
          <w:tcPr>
            <w:tcW w:type="dxa" w:w="1440"/>
            <w:vAlign w:val="center"/>
          </w:tcPr>
          <w:p>
            <w:pPr>
              <w:spacing w:after="0"/>
            </w:pPr>
            <w:r/>
            <w:r>
              <w:rPr>
                <w:b w:val="0"/>
                <w:sz w:val="16"/>
              </w:rPr>
              <w:t>61,101</w:t>
            </w:r>
          </w:p>
        </w:tc>
      </w:tr>
    </w:tbl>
    <w:p>
      <w:pPr>
        <w:spacing w:after="0"/>
      </w:pP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232"/>
            <w:vAlign w:val="center"/>
            <w:shd w:fill="17365D"/>
          </w:tcPr>
          <w:p>
            <w:pPr>
              <w:spacing w:after="0"/>
            </w:pPr>
            <w:r/>
            <w:r>
              <w:rPr>
                <w:b/>
                <w:color w:val="FFFFFF"/>
                <w:sz w:val="16"/>
              </w:rPr>
              <w:t>Raw source category</w:t>
            </w:r>
          </w:p>
        </w:tc>
        <w:tc>
          <w:tcPr>
            <w:tcW w:type="dxa" w:w="1008"/>
            <w:vAlign w:val="center"/>
            <w:shd w:fill="17365D"/>
          </w:tcPr>
          <w:p>
            <w:pPr>
              <w:spacing w:after="0"/>
            </w:pPr>
            <w:r/>
            <w:r>
              <w:rPr>
                <w:b/>
                <w:color w:val="FFFFFF"/>
                <w:sz w:val="16"/>
              </w:rPr>
              <w:t>Codes</w:t>
            </w:r>
          </w:p>
        </w:tc>
        <w:tc>
          <w:tcPr>
            <w:tcW w:type="dxa" w:w="1368"/>
            <w:vAlign w:val="center"/>
            <w:shd w:fill="17365D"/>
          </w:tcPr>
          <w:p>
            <w:pPr>
              <w:spacing w:after="0"/>
            </w:pPr>
            <w:r/>
            <w:r>
              <w:rPr>
                <w:b/>
                <w:color w:val="FFFFFF"/>
                <w:sz w:val="16"/>
              </w:rPr>
              <w:t>Positive</w:t>
            </w:r>
          </w:p>
        </w:tc>
        <w:tc>
          <w:tcPr>
            <w:tcW w:type="dxa" w:w="1368"/>
            <w:vAlign w:val="center"/>
            <w:shd w:fill="17365D"/>
          </w:tcPr>
          <w:p>
            <w:pPr>
              <w:spacing w:after="0"/>
            </w:pPr>
            <w:r/>
            <w:r>
              <w:rPr>
                <w:b/>
                <w:color w:val="FFFFFF"/>
                <w:sz w:val="16"/>
              </w:rPr>
              <w:t>Negative</w:t>
            </w:r>
          </w:p>
        </w:tc>
        <w:tc>
          <w:tcPr>
            <w:tcW w:type="dxa" w:w="1224"/>
            <w:vAlign w:val="center"/>
            <w:shd w:fill="17365D"/>
          </w:tcPr>
          <w:p>
            <w:pPr>
              <w:spacing w:after="0"/>
            </w:pPr>
            <w:r/>
            <w:r>
              <w:rPr>
                <w:b/>
                <w:color w:val="FFFFFF"/>
                <w:sz w:val="16"/>
              </w:rPr>
              <w:t>Net</w:t>
            </w:r>
          </w:p>
        </w:tc>
      </w:tr>
      <w:tr>
        <w:tc>
          <w:tcPr>
            <w:tcW w:type="dxa" w:w="2232"/>
            <w:vAlign w:val="center"/>
          </w:tcPr>
          <w:p>
            <w:pPr>
              <w:spacing w:after="0"/>
            </w:pPr>
            <w:r/>
            <w:r>
              <w:rPr>
                <w:b w:val="0"/>
                <w:sz w:val="16"/>
              </w:rPr>
              <w:t>AGRI-FG</w:t>
            </w:r>
          </w:p>
        </w:tc>
        <w:tc>
          <w:tcPr>
            <w:tcW w:type="dxa" w:w="1008"/>
            <w:vAlign w:val="center"/>
          </w:tcPr>
          <w:p>
            <w:pPr>
              <w:spacing w:after="0"/>
            </w:pPr>
            <w:r/>
            <w:r>
              <w:rPr>
                <w:b w:val="0"/>
                <w:sz w:val="16"/>
              </w:rPr>
              <w:t>25</w:t>
            </w:r>
          </w:p>
        </w:tc>
        <w:tc>
          <w:tcPr>
            <w:tcW w:type="dxa" w:w="1368"/>
            <w:vAlign w:val="center"/>
          </w:tcPr>
          <w:p>
            <w:pPr>
              <w:spacing w:after="0"/>
            </w:pPr>
            <w:r/>
            <w:r>
              <w:rPr>
                <w:b w:val="0"/>
                <w:sz w:val="16"/>
              </w:rPr>
              <w:t>24,161</w:t>
            </w:r>
          </w:p>
        </w:tc>
        <w:tc>
          <w:tcPr>
            <w:tcW w:type="dxa" w:w="1368"/>
            <w:vAlign w:val="center"/>
          </w:tcPr>
          <w:p>
            <w:pPr>
              <w:spacing w:after="0"/>
            </w:pPr>
            <w:r/>
            <w:r>
              <w:rPr>
                <w:b w:val="0"/>
                <w:sz w:val="16"/>
              </w:rPr>
              <w:t>-388</w:t>
            </w:r>
          </w:p>
        </w:tc>
        <w:tc>
          <w:tcPr>
            <w:tcW w:type="dxa" w:w="1224"/>
            <w:vAlign w:val="center"/>
          </w:tcPr>
          <w:p>
            <w:pPr>
              <w:spacing w:after="0"/>
            </w:pPr>
            <w:r/>
            <w:r>
              <w:rPr>
                <w:b w:val="0"/>
                <w:sz w:val="16"/>
              </w:rPr>
              <w:t>23,773</w:t>
            </w:r>
          </w:p>
        </w:tc>
      </w:tr>
      <w:tr>
        <w:tc>
          <w:tcPr>
            <w:tcW w:type="dxa" w:w="2232"/>
            <w:vAlign w:val="center"/>
          </w:tcPr>
          <w:p>
            <w:pPr>
              <w:spacing w:after="0"/>
            </w:pPr>
            <w:r/>
            <w:r>
              <w:rPr>
                <w:b w:val="0"/>
                <w:sz w:val="16"/>
              </w:rPr>
              <w:t>AGRI FG</w:t>
            </w:r>
          </w:p>
        </w:tc>
        <w:tc>
          <w:tcPr>
            <w:tcW w:type="dxa" w:w="1008"/>
            <w:vAlign w:val="center"/>
          </w:tcPr>
          <w:p>
            <w:pPr>
              <w:spacing w:after="0"/>
            </w:pPr>
            <w:r/>
            <w:r>
              <w:rPr>
                <w:b w:val="0"/>
                <w:sz w:val="16"/>
              </w:rPr>
              <w:t>46</w:t>
            </w:r>
          </w:p>
        </w:tc>
        <w:tc>
          <w:tcPr>
            <w:tcW w:type="dxa" w:w="1368"/>
            <w:vAlign w:val="center"/>
          </w:tcPr>
          <w:p>
            <w:pPr>
              <w:spacing w:after="0"/>
            </w:pPr>
            <w:r/>
            <w:r>
              <w:rPr>
                <w:b w:val="0"/>
                <w:sz w:val="16"/>
              </w:rPr>
              <w:t>35,324</w:t>
            </w:r>
          </w:p>
        </w:tc>
        <w:tc>
          <w:tcPr>
            <w:tcW w:type="dxa" w:w="1368"/>
            <w:vAlign w:val="center"/>
          </w:tcPr>
          <w:p>
            <w:pPr>
              <w:spacing w:after="0"/>
            </w:pPr>
            <w:r/>
            <w:r>
              <w:rPr>
                <w:b w:val="0"/>
                <w:sz w:val="16"/>
              </w:rPr>
              <w:t>-1,445</w:t>
            </w:r>
          </w:p>
        </w:tc>
        <w:tc>
          <w:tcPr>
            <w:tcW w:type="dxa" w:w="1224"/>
            <w:vAlign w:val="center"/>
          </w:tcPr>
          <w:p>
            <w:pPr>
              <w:spacing w:after="0"/>
            </w:pPr>
            <w:r/>
            <w:r>
              <w:rPr>
                <w:b w:val="0"/>
                <w:sz w:val="16"/>
              </w:rPr>
              <w:t>33,879</w:t>
            </w:r>
          </w:p>
        </w:tc>
      </w:tr>
      <w:tr>
        <w:tc>
          <w:tcPr>
            <w:tcW w:type="dxa" w:w="2232"/>
            <w:vAlign w:val="center"/>
          </w:tcPr>
          <w:p>
            <w:pPr>
              <w:spacing w:after="0"/>
            </w:pPr>
            <w:r/>
            <w:r>
              <w:rPr>
                <w:b w:val="0"/>
                <w:sz w:val="16"/>
              </w:rPr>
              <w:t>AGRI-PIPE</w:t>
            </w:r>
          </w:p>
        </w:tc>
        <w:tc>
          <w:tcPr>
            <w:tcW w:type="dxa" w:w="1008"/>
            <w:vAlign w:val="center"/>
          </w:tcPr>
          <w:p>
            <w:pPr>
              <w:spacing w:after="0"/>
            </w:pPr>
            <w:r/>
            <w:r>
              <w:rPr>
                <w:b w:val="0"/>
                <w:sz w:val="16"/>
              </w:rPr>
              <w:t>5</w:t>
            </w:r>
          </w:p>
        </w:tc>
        <w:tc>
          <w:tcPr>
            <w:tcW w:type="dxa" w:w="1368"/>
            <w:vAlign w:val="center"/>
          </w:tcPr>
          <w:p>
            <w:pPr>
              <w:spacing w:after="0"/>
            </w:pPr>
            <w:r/>
            <w:r>
              <w:rPr>
                <w:b w:val="0"/>
                <w:sz w:val="16"/>
              </w:rPr>
              <w:t>411</w:t>
            </w:r>
          </w:p>
        </w:tc>
        <w:tc>
          <w:tcPr>
            <w:tcW w:type="dxa" w:w="1368"/>
            <w:vAlign w:val="center"/>
          </w:tcPr>
          <w:p>
            <w:pPr>
              <w:spacing w:after="0"/>
            </w:pPr>
            <w:r/>
            <w:r>
              <w:rPr>
                <w:b w:val="0"/>
                <w:sz w:val="16"/>
              </w:rPr>
              <w:t>-705</w:t>
            </w:r>
          </w:p>
        </w:tc>
        <w:tc>
          <w:tcPr>
            <w:tcW w:type="dxa" w:w="1224"/>
            <w:vAlign w:val="center"/>
          </w:tcPr>
          <w:p>
            <w:pPr>
              <w:spacing w:after="0"/>
            </w:pPr>
            <w:r/>
            <w:r>
              <w:rPr>
                <w:b w:val="0"/>
                <w:sz w:val="16"/>
              </w:rPr>
              <w:t>-294</w:t>
            </w:r>
          </w:p>
        </w:tc>
      </w:tr>
      <w:tr>
        <w:tc>
          <w:tcPr>
            <w:tcW w:type="dxa" w:w="2232"/>
            <w:vAlign w:val="center"/>
          </w:tcPr>
          <w:p>
            <w:pPr>
              <w:spacing w:after="0"/>
            </w:pPr>
            <w:r/>
            <w:r>
              <w:rPr>
                <w:b w:val="0"/>
                <w:sz w:val="16"/>
              </w:rPr>
              <w:t>CPVC-FG</w:t>
            </w:r>
          </w:p>
        </w:tc>
        <w:tc>
          <w:tcPr>
            <w:tcW w:type="dxa" w:w="1008"/>
            <w:vAlign w:val="center"/>
          </w:tcPr>
          <w:p>
            <w:pPr>
              <w:spacing w:after="0"/>
            </w:pPr>
            <w:r/>
            <w:r>
              <w:rPr>
                <w:b w:val="0"/>
                <w:sz w:val="16"/>
              </w:rPr>
              <w:t>4</w:t>
            </w:r>
          </w:p>
        </w:tc>
        <w:tc>
          <w:tcPr>
            <w:tcW w:type="dxa" w:w="1368"/>
            <w:vAlign w:val="center"/>
          </w:tcPr>
          <w:p>
            <w:pPr>
              <w:spacing w:after="0"/>
            </w:pPr>
            <w:r/>
            <w:r>
              <w:rPr>
                <w:b w:val="0"/>
                <w:sz w:val="16"/>
              </w:rPr>
              <w:t>409</w:t>
            </w:r>
          </w:p>
        </w:tc>
        <w:tc>
          <w:tcPr>
            <w:tcW w:type="dxa" w:w="1368"/>
            <w:vAlign w:val="center"/>
          </w:tcPr>
          <w:p>
            <w:pPr>
              <w:spacing w:after="0"/>
            </w:pPr>
            <w:r/>
            <w:r>
              <w:rPr>
                <w:b w:val="0"/>
                <w:sz w:val="16"/>
              </w:rPr>
              <w:t>-183</w:t>
            </w:r>
          </w:p>
        </w:tc>
        <w:tc>
          <w:tcPr>
            <w:tcW w:type="dxa" w:w="1224"/>
            <w:vAlign w:val="center"/>
          </w:tcPr>
          <w:p>
            <w:pPr>
              <w:spacing w:after="0"/>
            </w:pPr>
            <w:r/>
            <w:r>
              <w:rPr>
                <w:b w:val="0"/>
                <w:sz w:val="16"/>
              </w:rPr>
              <w:t>226</w:t>
            </w:r>
          </w:p>
        </w:tc>
      </w:tr>
      <w:tr>
        <w:tc>
          <w:tcPr>
            <w:tcW w:type="dxa" w:w="2232"/>
            <w:vAlign w:val="center"/>
          </w:tcPr>
          <w:p>
            <w:pPr>
              <w:spacing w:after="0"/>
            </w:pPr>
            <w:r/>
            <w:r>
              <w:rPr>
                <w:b w:val="0"/>
                <w:sz w:val="16"/>
              </w:rPr>
              <w:t>CPVC FG</w:t>
            </w:r>
          </w:p>
        </w:tc>
        <w:tc>
          <w:tcPr>
            <w:tcW w:type="dxa" w:w="1008"/>
            <w:vAlign w:val="center"/>
          </w:tcPr>
          <w:p>
            <w:pPr>
              <w:spacing w:after="0"/>
            </w:pPr>
            <w:r/>
            <w:r>
              <w:rPr>
                <w:b w:val="0"/>
                <w:sz w:val="16"/>
              </w:rPr>
              <w:t>3</w:t>
            </w:r>
          </w:p>
        </w:tc>
        <w:tc>
          <w:tcPr>
            <w:tcW w:type="dxa" w:w="1368"/>
            <w:vAlign w:val="center"/>
          </w:tcPr>
          <w:p>
            <w:pPr>
              <w:spacing w:after="0"/>
            </w:pPr>
            <w:r/>
            <w:r>
              <w:rPr>
                <w:b w:val="0"/>
                <w:sz w:val="16"/>
              </w:rPr>
              <w:t>137</w:t>
            </w:r>
          </w:p>
        </w:tc>
        <w:tc>
          <w:tcPr>
            <w:tcW w:type="dxa" w:w="1368"/>
            <w:vAlign w:val="center"/>
          </w:tcPr>
          <w:p>
            <w:pPr>
              <w:spacing w:after="0"/>
            </w:pPr>
            <w:r/>
            <w:r>
              <w:rPr>
                <w:b w:val="0"/>
                <w:sz w:val="16"/>
              </w:rPr>
              <w:t>-128</w:t>
            </w:r>
          </w:p>
        </w:tc>
        <w:tc>
          <w:tcPr>
            <w:tcW w:type="dxa" w:w="1224"/>
            <w:vAlign w:val="center"/>
          </w:tcPr>
          <w:p>
            <w:pPr>
              <w:spacing w:after="0"/>
            </w:pPr>
            <w:r/>
            <w:r>
              <w:rPr>
                <w:b w:val="0"/>
                <w:sz w:val="16"/>
              </w:rPr>
              <w:t>9</w:t>
            </w:r>
          </w:p>
        </w:tc>
      </w:tr>
      <w:tr>
        <w:tc>
          <w:tcPr>
            <w:tcW w:type="dxa" w:w="2232"/>
            <w:vAlign w:val="center"/>
          </w:tcPr>
          <w:p>
            <w:pPr>
              <w:spacing w:after="0"/>
            </w:pPr>
            <w:r/>
            <w:r>
              <w:rPr>
                <w:b w:val="0"/>
                <w:sz w:val="16"/>
              </w:rPr>
              <w:t>CPVC FITTING</w:t>
            </w:r>
          </w:p>
        </w:tc>
        <w:tc>
          <w:tcPr>
            <w:tcW w:type="dxa" w:w="1008"/>
            <w:vAlign w:val="center"/>
          </w:tcPr>
          <w:p>
            <w:pPr>
              <w:spacing w:after="0"/>
            </w:pPr>
            <w:r/>
            <w:r>
              <w:rPr>
                <w:b w:val="0"/>
                <w:sz w:val="16"/>
              </w:rPr>
              <w:t>1</w:t>
            </w:r>
          </w:p>
        </w:tc>
        <w:tc>
          <w:tcPr>
            <w:tcW w:type="dxa" w:w="1368"/>
            <w:vAlign w:val="center"/>
          </w:tcPr>
          <w:p>
            <w:pPr>
              <w:spacing w:after="0"/>
            </w:pPr>
            <w:r/>
            <w:r>
              <w:rPr>
                <w:b w:val="0"/>
                <w:sz w:val="16"/>
              </w:rPr>
              <w:t>0</w:t>
            </w:r>
          </w:p>
        </w:tc>
        <w:tc>
          <w:tcPr>
            <w:tcW w:type="dxa" w:w="1368"/>
            <w:vAlign w:val="center"/>
          </w:tcPr>
          <w:p>
            <w:pPr>
              <w:spacing w:after="0"/>
            </w:pPr>
            <w:r/>
            <w:r>
              <w:rPr>
                <w:b w:val="0"/>
                <w:sz w:val="16"/>
              </w:rPr>
              <w:t>-300</w:t>
            </w:r>
          </w:p>
        </w:tc>
        <w:tc>
          <w:tcPr>
            <w:tcW w:type="dxa" w:w="1224"/>
            <w:vAlign w:val="center"/>
          </w:tcPr>
          <w:p>
            <w:pPr>
              <w:spacing w:after="0"/>
            </w:pPr>
            <w:r/>
            <w:r>
              <w:rPr>
                <w:b w:val="0"/>
                <w:sz w:val="16"/>
              </w:rPr>
              <w:t>-300</w:t>
            </w:r>
          </w:p>
        </w:tc>
      </w:tr>
      <w:tr>
        <w:tc>
          <w:tcPr>
            <w:tcW w:type="dxa" w:w="2232"/>
            <w:vAlign w:val="center"/>
          </w:tcPr>
          <w:p>
            <w:pPr>
              <w:spacing w:after="0"/>
            </w:pPr>
            <w:r/>
            <w:r>
              <w:rPr>
                <w:b w:val="0"/>
                <w:sz w:val="16"/>
              </w:rPr>
              <w:t>cpvc fg</w:t>
            </w:r>
          </w:p>
        </w:tc>
        <w:tc>
          <w:tcPr>
            <w:tcW w:type="dxa" w:w="1008"/>
            <w:vAlign w:val="center"/>
          </w:tcPr>
          <w:p>
            <w:pPr>
              <w:spacing w:after="0"/>
            </w:pPr>
            <w:r/>
            <w:r>
              <w:rPr>
                <w:b w:val="0"/>
                <w:sz w:val="16"/>
              </w:rPr>
              <w:t>2</w:t>
            </w:r>
          </w:p>
        </w:tc>
        <w:tc>
          <w:tcPr>
            <w:tcW w:type="dxa" w:w="1368"/>
            <w:vAlign w:val="center"/>
          </w:tcPr>
          <w:p>
            <w:pPr>
              <w:spacing w:after="0"/>
            </w:pPr>
            <w:r/>
            <w:r>
              <w:rPr>
                <w:b w:val="0"/>
                <w:sz w:val="16"/>
              </w:rPr>
              <w:t>0</w:t>
            </w:r>
          </w:p>
        </w:tc>
        <w:tc>
          <w:tcPr>
            <w:tcW w:type="dxa" w:w="1368"/>
            <w:vAlign w:val="center"/>
          </w:tcPr>
          <w:p>
            <w:pPr>
              <w:spacing w:after="0"/>
            </w:pPr>
            <w:r/>
            <w:r>
              <w:rPr>
                <w:b w:val="0"/>
                <w:sz w:val="16"/>
              </w:rPr>
              <w:t>-145</w:t>
            </w:r>
          </w:p>
        </w:tc>
        <w:tc>
          <w:tcPr>
            <w:tcW w:type="dxa" w:w="1224"/>
            <w:vAlign w:val="center"/>
          </w:tcPr>
          <w:p>
            <w:pPr>
              <w:spacing w:after="0"/>
            </w:pPr>
            <w:r/>
            <w:r>
              <w:rPr>
                <w:b w:val="0"/>
                <w:sz w:val="16"/>
              </w:rPr>
              <w:t>-145</w:t>
            </w:r>
          </w:p>
        </w:tc>
      </w:tr>
      <w:tr>
        <w:tc>
          <w:tcPr>
            <w:tcW w:type="dxa" w:w="2232"/>
            <w:vAlign w:val="center"/>
          </w:tcPr>
          <w:p>
            <w:pPr>
              <w:spacing w:after="0"/>
            </w:pPr>
            <w:r/>
            <w:r>
              <w:rPr>
                <w:b w:val="0"/>
                <w:sz w:val="16"/>
              </w:rPr>
              <w:t>SWR-FG</w:t>
            </w:r>
          </w:p>
        </w:tc>
        <w:tc>
          <w:tcPr>
            <w:tcW w:type="dxa" w:w="1008"/>
            <w:vAlign w:val="center"/>
          </w:tcPr>
          <w:p>
            <w:pPr>
              <w:spacing w:after="0"/>
            </w:pPr>
            <w:r/>
            <w:r>
              <w:rPr>
                <w:b w:val="0"/>
                <w:sz w:val="16"/>
              </w:rPr>
              <w:t>2</w:t>
            </w:r>
          </w:p>
        </w:tc>
        <w:tc>
          <w:tcPr>
            <w:tcW w:type="dxa" w:w="1368"/>
            <w:vAlign w:val="center"/>
          </w:tcPr>
          <w:p>
            <w:pPr>
              <w:spacing w:after="0"/>
            </w:pPr>
            <w:r/>
            <w:r>
              <w:rPr>
                <w:b w:val="0"/>
                <w:sz w:val="16"/>
              </w:rPr>
              <w:t>411</w:t>
            </w:r>
          </w:p>
        </w:tc>
        <w:tc>
          <w:tcPr>
            <w:tcW w:type="dxa" w:w="1368"/>
            <w:vAlign w:val="center"/>
          </w:tcPr>
          <w:p>
            <w:pPr>
              <w:spacing w:after="0"/>
            </w:pPr>
            <w:r/>
            <w:r>
              <w:rPr>
                <w:b w:val="0"/>
                <w:sz w:val="16"/>
              </w:rPr>
              <w:t>-160</w:t>
            </w:r>
          </w:p>
        </w:tc>
        <w:tc>
          <w:tcPr>
            <w:tcW w:type="dxa" w:w="1224"/>
            <w:vAlign w:val="center"/>
          </w:tcPr>
          <w:p>
            <w:pPr>
              <w:spacing w:after="0"/>
            </w:pPr>
            <w:r/>
            <w:r>
              <w:rPr>
                <w:b w:val="0"/>
                <w:sz w:val="16"/>
              </w:rPr>
              <w:t>251</w:t>
            </w:r>
          </w:p>
        </w:tc>
      </w:tr>
      <w:tr>
        <w:tc>
          <w:tcPr>
            <w:tcW w:type="dxa" w:w="2232"/>
            <w:vAlign w:val="center"/>
          </w:tcPr>
          <w:p>
            <w:pPr>
              <w:spacing w:after="0"/>
            </w:pPr>
            <w:r/>
            <w:r>
              <w:rPr>
                <w:b w:val="0"/>
                <w:sz w:val="16"/>
              </w:rPr>
              <w:t>SWR FG</w:t>
            </w:r>
          </w:p>
        </w:tc>
        <w:tc>
          <w:tcPr>
            <w:tcW w:type="dxa" w:w="1008"/>
            <w:vAlign w:val="center"/>
          </w:tcPr>
          <w:p>
            <w:pPr>
              <w:spacing w:after="0"/>
            </w:pPr>
            <w:r/>
            <w:r>
              <w:rPr>
                <w:b w:val="0"/>
                <w:sz w:val="16"/>
              </w:rPr>
              <w:t>7</w:t>
            </w:r>
          </w:p>
        </w:tc>
        <w:tc>
          <w:tcPr>
            <w:tcW w:type="dxa" w:w="1368"/>
            <w:vAlign w:val="center"/>
          </w:tcPr>
          <w:p>
            <w:pPr>
              <w:spacing w:after="0"/>
            </w:pPr>
            <w:r/>
            <w:r>
              <w:rPr>
                <w:b w:val="0"/>
                <w:sz w:val="16"/>
              </w:rPr>
              <w:t>4,326</w:t>
            </w:r>
          </w:p>
        </w:tc>
        <w:tc>
          <w:tcPr>
            <w:tcW w:type="dxa" w:w="1368"/>
            <w:vAlign w:val="center"/>
          </w:tcPr>
          <w:p>
            <w:pPr>
              <w:spacing w:after="0"/>
            </w:pPr>
            <w:r/>
            <w:r>
              <w:rPr>
                <w:b w:val="0"/>
                <w:sz w:val="16"/>
              </w:rPr>
              <w:t>-1,927</w:t>
            </w:r>
          </w:p>
        </w:tc>
        <w:tc>
          <w:tcPr>
            <w:tcW w:type="dxa" w:w="1224"/>
            <w:vAlign w:val="center"/>
          </w:tcPr>
          <w:p>
            <w:pPr>
              <w:spacing w:after="0"/>
            </w:pPr>
            <w:r/>
            <w:r>
              <w:rPr>
                <w:b w:val="0"/>
                <w:sz w:val="16"/>
              </w:rPr>
              <w:t>2,399</w:t>
            </w:r>
          </w:p>
        </w:tc>
      </w:tr>
      <w:tr>
        <w:tc>
          <w:tcPr>
            <w:tcW w:type="dxa" w:w="2232"/>
            <w:vAlign w:val="center"/>
          </w:tcPr>
          <w:p>
            <w:pPr>
              <w:spacing w:after="0"/>
            </w:pPr>
            <w:r/>
            <w:r>
              <w:rPr>
                <w:b w:val="0"/>
                <w:sz w:val="16"/>
              </w:rPr>
              <w:t>SWR-PIPE</w:t>
            </w:r>
          </w:p>
        </w:tc>
        <w:tc>
          <w:tcPr>
            <w:tcW w:type="dxa" w:w="1008"/>
            <w:vAlign w:val="center"/>
          </w:tcPr>
          <w:p>
            <w:pPr>
              <w:spacing w:after="0"/>
            </w:pPr>
            <w:r/>
            <w:r>
              <w:rPr>
                <w:b w:val="0"/>
                <w:sz w:val="16"/>
              </w:rPr>
              <w:t>2</w:t>
            </w:r>
          </w:p>
        </w:tc>
        <w:tc>
          <w:tcPr>
            <w:tcW w:type="dxa" w:w="1368"/>
            <w:vAlign w:val="center"/>
          </w:tcPr>
          <w:p>
            <w:pPr>
              <w:spacing w:after="0"/>
            </w:pPr>
            <w:r/>
            <w:r>
              <w:rPr>
                <w:b w:val="0"/>
                <w:sz w:val="16"/>
              </w:rPr>
              <w:t>101</w:t>
            </w:r>
          </w:p>
        </w:tc>
        <w:tc>
          <w:tcPr>
            <w:tcW w:type="dxa" w:w="1368"/>
            <w:vAlign w:val="center"/>
          </w:tcPr>
          <w:p>
            <w:pPr>
              <w:spacing w:after="0"/>
            </w:pPr>
            <w:r/>
            <w:r>
              <w:rPr>
                <w:b w:val="0"/>
                <w:sz w:val="16"/>
              </w:rPr>
              <w:t>0</w:t>
            </w:r>
          </w:p>
        </w:tc>
        <w:tc>
          <w:tcPr>
            <w:tcW w:type="dxa" w:w="1224"/>
            <w:vAlign w:val="center"/>
          </w:tcPr>
          <w:p>
            <w:pPr>
              <w:spacing w:after="0"/>
            </w:pPr>
            <w:r/>
            <w:r>
              <w:rPr>
                <w:b w:val="0"/>
                <w:sz w:val="16"/>
              </w:rPr>
              <w:t>101</w:t>
            </w:r>
          </w:p>
        </w:tc>
      </w:tr>
      <w:tr>
        <w:tc>
          <w:tcPr>
            <w:tcW w:type="dxa" w:w="2232"/>
            <w:vAlign w:val="center"/>
          </w:tcPr>
          <w:p>
            <w:pPr>
              <w:spacing w:after="0"/>
            </w:pPr>
            <w:r/>
            <w:r>
              <w:rPr>
                <w:b w:val="0"/>
                <w:sz w:val="16"/>
              </w:rPr>
              <w:t>UPVC-FG</w:t>
            </w:r>
          </w:p>
        </w:tc>
        <w:tc>
          <w:tcPr>
            <w:tcW w:type="dxa" w:w="1008"/>
            <w:vAlign w:val="center"/>
          </w:tcPr>
          <w:p>
            <w:pPr>
              <w:spacing w:after="0"/>
            </w:pPr>
            <w:r/>
            <w:r>
              <w:rPr>
                <w:b w:val="0"/>
                <w:sz w:val="16"/>
              </w:rPr>
              <w:t>5</w:t>
            </w:r>
          </w:p>
        </w:tc>
        <w:tc>
          <w:tcPr>
            <w:tcW w:type="dxa" w:w="1368"/>
            <w:vAlign w:val="center"/>
          </w:tcPr>
          <w:p>
            <w:pPr>
              <w:spacing w:after="0"/>
            </w:pPr>
            <w:r/>
            <w:r>
              <w:rPr>
                <w:b w:val="0"/>
                <w:sz w:val="16"/>
              </w:rPr>
              <w:t>1,160</w:t>
            </w:r>
          </w:p>
        </w:tc>
        <w:tc>
          <w:tcPr>
            <w:tcW w:type="dxa" w:w="1368"/>
            <w:vAlign w:val="center"/>
          </w:tcPr>
          <w:p>
            <w:pPr>
              <w:spacing w:after="0"/>
            </w:pPr>
            <w:r/>
            <w:r>
              <w:rPr>
                <w:b w:val="0"/>
                <w:sz w:val="16"/>
              </w:rPr>
              <w:t>0</w:t>
            </w:r>
          </w:p>
        </w:tc>
        <w:tc>
          <w:tcPr>
            <w:tcW w:type="dxa" w:w="1224"/>
            <w:vAlign w:val="center"/>
          </w:tcPr>
          <w:p>
            <w:pPr>
              <w:spacing w:after="0"/>
            </w:pPr>
            <w:r/>
            <w:r>
              <w:rPr>
                <w:b w:val="0"/>
                <w:sz w:val="16"/>
              </w:rPr>
              <w:t>1,160</w:t>
            </w:r>
          </w:p>
        </w:tc>
      </w:tr>
      <w:tr>
        <w:tc>
          <w:tcPr>
            <w:tcW w:type="dxa" w:w="2232"/>
            <w:vAlign w:val="center"/>
          </w:tcPr>
          <w:p>
            <w:pPr>
              <w:spacing w:after="0"/>
            </w:pPr>
            <w:r/>
            <w:r>
              <w:rPr>
                <w:b w:val="0"/>
                <w:sz w:val="16"/>
              </w:rPr>
              <w:t>UPVC PIPE FG</w:t>
            </w:r>
          </w:p>
        </w:tc>
        <w:tc>
          <w:tcPr>
            <w:tcW w:type="dxa" w:w="1008"/>
            <w:vAlign w:val="center"/>
          </w:tcPr>
          <w:p>
            <w:pPr>
              <w:spacing w:after="0"/>
            </w:pPr>
            <w:r/>
            <w:r>
              <w:rPr>
                <w:b w:val="0"/>
                <w:sz w:val="16"/>
              </w:rPr>
              <w:t>2</w:t>
            </w:r>
          </w:p>
        </w:tc>
        <w:tc>
          <w:tcPr>
            <w:tcW w:type="dxa" w:w="1368"/>
            <w:vAlign w:val="center"/>
          </w:tcPr>
          <w:p>
            <w:pPr>
              <w:spacing w:after="0"/>
            </w:pPr>
            <w:r/>
            <w:r>
              <w:rPr>
                <w:b w:val="0"/>
                <w:sz w:val="16"/>
              </w:rPr>
              <w:t>355</w:t>
            </w:r>
          </w:p>
        </w:tc>
        <w:tc>
          <w:tcPr>
            <w:tcW w:type="dxa" w:w="1368"/>
            <w:vAlign w:val="center"/>
          </w:tcPr>
          <w:p>
            <w:pPr>
              <w:spacing w:after="0"/>
            </w:pPr>
            <w:r/>
            <w:r>
              <w:rPr>
                <w:b w:val="0"/>
                <w:sz w:val="16"/>
              </w:rPr>
              <w:t>0</w:t>
            </w:r>
          </w:p>
        </w:tc>
        <w:tc>
          <w:tcPr>
            <w:tcW w:type="dxa" w:w="1224"/>
            <w:vAlign w:val="center"/>
          </w:tcPr>
          <w:p>
            <w:pPr>
              <w:spacing w:after="0"/>
            </w:pPr>
            <w:r/>
            <w:r>
              <w:rPr>
                <w:b w:val="0"/>
                <w:sz w:val="16"/>
              </w:rPr>
              <w:t>355</w:t>
            </w:r>
          </w:p>
        </w:tc>
      </w:tr>
      <w:tr>
        <w:tc>
          <w:tcPr>
            <w:tcW w:type="dxa" w:w="2232"/>
            <w:vAlign w:val="center"/>
          </w:tcPr>
          <w:p>
            <w:pPr>
              <w:spacing w:after="0"/>
            </w:pPr>
            <w:r/>
            <w:r>
              <w:rPr>
                <w:b w:val="0"/>
                <w:sz w:val="16"/>
              </w:rPr>
              <w:t>UPVC -FG</w:t>
            </w:r>
          </w:p>
        </w:tc>
        <w:tc>
          <w:tcPr>
            <w:tcW w:type="dxa" w:w="1008"/>
            <w:vAlign w:val="center"/>
          </w:tcPr>
          <w:p>
            <w:pPr>
              <w:spacing w:after="0"/>
            </w:pPr>
            <w:r/>
            <w:r>
              <w:rPr>
                <w:b w:val="0"/>
                <w:sz w:val="16"/>
              </w:rPr>
              <w:t>1</w:t>
            </w:r>
          </w:p>
        </w:tc>
        <w:tc>
          <w:tcPr>
            <w:tcW w:type="dxa" w:w="1368"/>
            <w:vAlign w:val="center"/>
          </w:tcPr>
          <w:p>
            <w:pPr>
              <w:spacing w:after="0"/>
            </w:pPr>
            <w:r/>
            <w:r>
              <w:rPr>
                <w:b w:val="0"/>
                <w:sz w:val="16"/>
              </w:rPr>
              <w:t>7</w:t>
            </w:r>
          </w:p>
        </w:tc>
        <w:tc>
          <w:tcPr>
            <w:tcW w:type="dxa" w:w="1368"/>
            <w:vAlign w:val="center"/>
          </w:tcPr>
          <w:p>
            <w:pPr>
              <w:spacing w:after="0"/>
            </w:pPr>
            <w:r/>
            <w:r>
              <w:rPr>
                <w:b w:val="0"/>
                <w:sz w:val="16"/>
              </w:rPr>
              <w:t>0</w:t>
            </w:r>
          </w:p>
        </w:tc>
        <w:tc>
          <w:tcPr>
            <w:tcW w:type="dxa" w:w="1224"/>
            <w:vAlign w:val="center"/>
          </w:tcPr>
          <w:p>
            <w:pPr>
              <w:spacing w:after="0"/>
            </w:pPr>
            <w:r/>
            <w:r>
              <w:rPr>
                <w:b w:val="0"/>
                <w:sz w:val="16"/>
              </w:rPr>
              <w:t>7</w:t>
            </w:r>
          </w:p>
        </w:tc>
      </w:tr>
      <w:tr>
        <w:tc>
          <w:tcPr>
            <w:tcW w:type="dxa" w:w="2232"/>
            <w:vAlign w:val="center"/>
          </w:tcPr>
          <w:p>
            <w:pPr>
              <w:spacing w:after="0"/>
            </w:pPr>
            <w:r/>
            <w:r>
              <w:rPr>
                <w:b w:val="0"/>
                <w:sz w:val="16"/>
              </w:rPr>
              <w:t>UPVC FITTING</w:t>
            </w:r>
          </w:p>
        </w:tc>
        <w:tc>
          <w:tcPr>
            <w:tcW w:type="dxa" w:w="1008"/>
            <w:vAlign w:val="center"/>
          </w:tcPr>
          <w:p>
            <w:pPr>
              <w:spacing w:after="0"/>
            </w:pPr>
            <w:r/>
            <w:r>
              <w:rPr>
                <w:b w:val="0"/>
                <w:sz w:val="16"/>
              </w:rPr>
              <w:t>1</w:t>
            </w:r>
          </w:p>
        </w:tc>
        <w:tc>
          <w:tcPr>
            <w:tcW w:type="dxa" w:w="1368"/>
            <w:vAlign w:val="center"/>
          </w:tcPr>
          <w:p>
            <w:pPr>
              <w:spacing w:after="0"/>
            </w:pPr>
            <w:r/>
            <w:r>
              <w:rPr>
                <w:b w:val="0"/>
                <w:sz w:val="16"/>
              </w:rPr>
              <w:t>0</w:t>
            </w:r>
          </w:p>
        </w:tc>
        <w:tc>
          <w:tcPr>
            <w:tcW w:type="dxa" w:w="1368"/>
            <w:vAlign w:val="center"/>
          </w:tcPr>
          <w:p>
            <w:pPr>
              <w:spacing w:after="0"/>
            </w:pPr>
            <w:r/>
            <w:r>
              <w:rPr>
                <w:b w:val="0"/>
                <w:sz w:val="16"/>
              </w:rPr>
              <w:t>-320</w:t>
            </w:r>
          </w:p>
        </w:tc>
        <w:tc>
          <w:tcPr>
            <w:tcW w:type="dxa" w:w="1224"/>
            <w:vAlign w:val="center"/>
          </w:tcPr>
          <w:p>
            <w:pPr>
              <w:spacing w:after="0"/>
            </w:pPr>
            <w:r/>
            <w:r>
              <w:rPr>
                <w:b w:val="0"/>
                <w:sz w:val="16"/>
              </w:rPr>
              <w:t>-320</w:t>
            </w:r>
          </w:p>
        </w:tc>
      </w:tr>
    </w:tbl>
    <w:p>
      <w:pPr>
        <w:spacing w:after="0"/>
      </w:pPr>
    </w:p>
    <w:p>
      <w:pPr>
        <w:spacing w:after="100"/>
      </w:pPr>
      <w:r>
        <w:t>Source positions: the 106 current-upload rows span positions 329–1,051 and form 16 contiguous runs. Run lengths are 3, 2, 1, 2, 18, 7, 4, 1, 12, 1, 7, 13, 27, 6, 1, and 1. This is scattered/interleaved evidence, not one single accidental import block.</w:t>
      </w:r>
    </w:p>
    <w:tbl>
      <w:tblPr>
        <w:tblStyle w:val="TableGrid"/>
        <w:tblW w:type="auto" w:w="0"/>
        <w:jc w:val="center"/>
        <w:tblLook w:firstColumn="1" w:firstRow="1" w:lastColumn="0" w:lastRow="0" w:noHBand="0" w:noVBand="1" w:val="04A0"/>
      </w:tblPr>
      <w:tblGrid>
        <w:gridCol w:w="5112"/>
        <w:gridCol w:w="5112"/>
      </w:tblGrid>
      <w:tr>
        <w:tc>
          <w:tcPr>
            <w:tcW w:type="dxa" w:w="4608"/>
            <w:vAlign w:val="center"/>
            <w:shd w:fill="17365D"/>
          </w:tcPr>
          <w:p>
            <w:pPr>
              <w:spacing w:after="0"/>
            </w:pPr>
            <w:r/>
            <w:r>
              <w:rPr>
                <w:b/>
                <w:color w:val="FFFFFF"/>
                <w:sz w:val="16"/>
              </w:rPr>
              <w:t>Name pattern</w:t>
            </w:r>
          </w:p>
        </w:tc>
        <w:tc>
          <w:tcPr>
            <w:tcW w:type="dxa" w:w="1440"/>
            <w:vAlign w:val="center"/>
            <w:shd w:fill="17365D"/>
          </w:tcPr>
          <w:p>
            <w:pPr>
              <w:spacing w:after="0"/>
            </w:pPr>
            <w:r/>
            <w:r>
              <w:rPr>
                <w:b/>
                <w:color w:val="FFFFFF"/>
                <w:sz w:val="16"/>
              </w:rPr>
              <w:t>Codes</w:t>
            </w:r>
          </w:p>
        </w:tc>
      </w:tr>
      <w:tr>
        <w:tc>
          <w:tcPr>
            <w:tcW w:type="dxa" w:w="4608"/>
            <w:vAlign w:val="center"/>
          </w:tcPr>
          <w:p>
            <w:pPr>
              <w:spacing w:after="0"/>
            </w:pPr>
            <w:r/>
            <w:r>
              <w:rPr>
                <w:b w:val="0"/>
                <w:sz w:val="16"/>
              </w:rPr>
              <w:t>Elbow</w:t>
            </w:r>
          </w:p>
        </w:tc>
        <w:tc>
          <w:tcPr>
            <w:tcW w:type="dxa" w:w="1440"/>
            <w:vAlign w:val="center"/>
          </w:tcPr>
          <w:p>
            <w:pPr>
              <w:spacing w:after="0"/>
            </w:pPr>
            <w:r/>
            <w:r>
              <w:rPr>
                <w:b w:val="0"/>
                <w:sz w:val="16"/>
              </w:rPr>
              <w:t>28</w:t>
            </w:r>
          </w:p>
        </w:tc>
      </w:tr>
      <w:tr>
        <w:tc>
          <w:tcPr>
            <w:tcW w:type="dxa" w:w="4608"/>
            <w:vAlign w:val="center"/>
          </w:tcPr>
          <w:p>
            <w:pPr>
              <w:spacing w:after="0"/>
            </w:pPr>
            <w:r/>
            <w:r>
              <w:rPr>
                <w:b w:val="0"/>
                <w:sz w:val="16"/>
              </w:rPr>
              <w:t>Coupler</w:t>
            </w:r>
          </w:p>
        </w:tc>
        <w:tc>
          <w:tcPr>
            <w:tcW w:type="dxa" w:w="1440"/>
            <w:vAlign w:val="center"/>
          </w:tcPr>
          <w:p>
            <w:pPr>
              <w:spacing w:after="0"/>
            </w:pPr>
            <w:r/>
            <w:r>
              <w:rPr>
                <w:b w:val="0"/>
                <w:sz w:val="16"/>
              </w:rPr>
              <w:t>15</w:t>
            </w:r>
          </w:p>
        </w:tc>
      </w:tr>
      <w:tr>
        <w:tc>
          <w:tcPr>
            <w:tcW w:type="dxa" w:w="4608"/>
            <w:vAlign w:val="center"/>
          </w:tcPr>
          <w:p>
            <w:pPr>
              <w:spacing w:after="0"/>
            </w:pPr>
            <w:r/>
            <w:r>
              <w:rPr>
                <w:b w:val="0"/>
                <w:sz w:val="16"/>
              </w:rPr>
              <w:t>Valve</w:t>
            </w:r>
          </w:p>
        </w:tc>
        <w:tc>
          <w:tcPr>
            <w:tcW w:type="dxa" w:w="1440"/>
            <w:vAlign w:val="center"/>
          </w:tcPr>
          <w:p>
            <w:pPr>
              <w:spacing w:after="0"/>
            </w:pPr>
            <w:r/>
            <w:r>
              <w:rPr>
                <w:b w:val="0"/>
                <w:sz w:val="16"/>
              </w:rPr>
              <w:t>14</w:t>
            </w:r>
          </w:p>
        </w:tc>
      </w:tr>
      <w:tr>
        <w:tc>
          <w:tcPr>
            <w:tcW w:type="dxa" w:w="4608"/>
            <w:vAlign w:val="center"/>
          </w:tcPr>
          <w:p>
            <w:pPr>
              <w:spacing w:after="0"/>
            </w:pPr>
            <w:r/>
            <w:r>
              <w:rPr>
                <w:b w:val="0"/>
                <w:sz w:val="16"/>
              </w:rPr>
              <w:t>Tee</w:t>
            </w:r>
          </w:p>
        </w:tc>
        <w:tc>
          <w:tcPr>
            <w:tcW w:type="dxa" w:w="1440"/>
            <w:vAlign w:val="center"/>
          </w:tcPr>
          <w:p>
            <w:pPr>
              <w:spacing w:after="0"/>
            </w:pPr>
            <w:r/>
            <w:r>
              <w:rPr>
                <w:b w:val="0"/>
                <w:sz w:val="16"/>
              </w:rPr>
              <w:t>14</w:t>
            </w:r>
          </w:p>
        </w:tc>
      </w:tr>
      <w:tr>
        <w:tc>
          <w:tcPr>
            <w:tcW w:type="dxa" w:w="4608"/>
            <w:vAlign w:val="center"/>
          </w:tcPr>
          <w:p>
            <w:pPr>
              <w:spacing w:after="0"/>
            </w:pPr>
            <w:r/>
            <w:r>
              <w:rPr>
                <w:b w:val="0"/>
                <w:sz w:val="16"/>
              </w:rPr>
              <w:t>Bush/reducer</w:t>
            </w:r>
          </w:p>
        </w:tc>
        <w:tc>
          <w:tcPr>
            <w:tcW w:type="dxa" w:w="1440"/>
            <w:vAlign w:val="center"/>
          </w:tcPr>
          <w:p>
            <w:pPr>
              <w:spacing w:after="0"/>
            </w:pPr>
            <w:r/>
            <w:r>
              <w:rPr>
                <w:b w:val="0"/>
                <w:sz w:val="16"/>
              </w:rPr>
              <w:t>13</w:t>
            </w:r>
          </w:p>
        </w:tc>
      </w:tr>
      <w:tr>
        <w:tc>
          <w:tcPr>
            <w:tcW w:type="dxa" w:w="4608"/>
            <w:vAlign w:val="center"/>
          </w:tcPr>
          <w:p>
            <w:pPr>
              <w:spacing w:after="0"/>
            </w:pPr>
            <w:r/>
            <w:r>
              <w:rPr>
                <w:b w:val="0"/>
                <w:sz w:val="16"/>
              </w:rPr>
              <w:t>Pipe</w:t>
            </w:r>
          </w:p>
        </w:tc>
        <w:tc>
          <w:tcPr>
            <w:tcW w:type="dxa" w:w="1440"/>
            <w:vAlign w:val="center"/>
          </w:tcPr>
          <w:p>
            <w:pPr>
              <w:spacing w:after="0"/>
            </w:pPr>
            <w:r/>
            <w:r>
              <w:rPr>
                <w:b w:val="0"/>
                <w:sz w:val="16"/>
              </w:rPr>
              <w:t>10</w:t>
            </w:r>
          </w:p>
        </w:tc>
      </w:tr>
      <w:tr>
        <w:tc>
          <w:tcPr>
            <w:tcW w:type="dxa" w:w="4608"/>
            <w:vAlign w:val="center"/>
          </w:tcPr>
          <w:p>
            <w:pPr>
              <w:spacing w:after="0"/>
            </w:pPr>
            <w:r/>
            <w:r>
              <w:rPr>
                <w:b w:val="0"/>
                <w:sz w:val="16"/>
              </w:rPr>
              <w:t>Trap</w:t>
            </w:r>
          </w:p>
        </w:tc>
        <w:tc>
          <w:tcPr>
            <w:tcW w:type="dxa" w:w="1440"/>
            <w:vAlign w:val="center"/>
          </w:tcPr>
          <w:p>
            <w:pPr>
              <w:spacing w:after="0"/>
            </w:pPr>
            <w:r/>
            <w:r>
              <w:rPr>
                <w:b w:val="0"/>
                <w:sz w:val="16"/>
              </w:rPr>
              <w:t>5</w:t>
            </w:r>
          </w:p>
        </w:tc>
      </w:tr>
      <w:tr>
        <w:tc>
          <w:tcPr>
            <w:tcW w:type="dxa" w:w="4608"/>
            <w:vAlign w:val="center"/>
          </w:tcPr>
          <w:p>
            <w:pPr>
              <w:spacing w:after="0"/>
            </w:pPr>
            <w:r/>
            <w:r>
              <w:rPr>
                <w:b w:val="0"/>
                <w:sz w:val="16"/>
              </w:rPr>
              <w:t>Socket/plug</w:t>
            </w:r>
          </w:p>
        </w:tc>
        <w:tc>
          <w:tcPr>
            <w:tcW w:type="dxa" w:w="1440"/>
            <w:vAlign w:val="center"/>
          </w:tcPr>
          <w:p>
            <w:pPr>
              <w:spacing w:after="0"/>
            </w:pPr>
            <w:r/>
            <w:r>
              <w:rPr>
                <w:b w:val="0"/>
                <w:sz w:val="16"/>
              </w:rPr>
              <w:t>3</w:t>
            </w:r>
          </w:p>
        </w:tc>
      </w:tr>
      <w:tr>
        <w:tc>
          <w:tcPr>
            <w:tcW w:type="dxa" w:w="4608"/>
            <w:vAlign w:val="center"/>
          </w:tcPr>
          <w:p>
            <w:pPr>
              <w:spacing w:after="0"/>
            </w:pPr>
            <w:r/>
            <w:r>
              <w:rPr>
                <w:b w:val="0"/>
                <w:sz w:val="16"/>
              </w:rPr>
              <w:t>Other</w:t>
            </w:r>
          </w:p>
        </w:tc>
        <w:tc>
          <w:tcPr>
            <w:tcW w:type="dxa" w:w="1440"/>
            <w:vAlign w:val="center"/>
          </w:tcPr>
          <w:p>
            <w:pPr>
              <w:spacing w:after="0"/>
            </w:pPr>
            <w:r/>
            <w:r>
              <w:rPr>
                <w:b w:val="0"/>
                <w:sz w:val="16"/>
              </w:rPr>
              <w:t>4</w:t>
            </w:r>
          </w:p>
        </w:tc>
      </w:tr>
    </w:tbl>
    <w:p>
      <w:pPr>
        <w:spacing w:after="0"/>
      </w:pPr>
    </w:p>
    <w:p>
      <w:pPr>
        <w:spacing w:after="100"/>
      </w:pPr>
      <w:r>
        <w:t>Observed size tokens include 20, 25, 32, 40, 50, 63, 75, 90, 110, and 160 mm. The main code-prefix groups are A (44), AS (26), numeric-only (9), CH (6), PN (6), U (6), C (4), PW (2), PU (2), and UH (1).</w:t>
      </w:r>
    </w:p>
    <w:p>
      <w:pPr>
        <w:spacing w:after="100"/>
      </w:pPr>
      <w:r>
        <w:t>For the two verified stored Plumbing uploads, all 106 class-c codes appear in current upload #13; 102 also appear in predecessor upload #8; four appear only in upload #13 (4507, AS-447, A-515, and C521S); none appear only in upload #8; none are absent from both. This is not the separate August-versus-July FG Stock comparison: the current Drive workbook could be discovered but was not readable through the available Sheets connection and exceeded the Drive export limit.</w:t>
      </w:r>
    </w:p>
    <w:p>
      <w:pPr>
        <w:pStyle w:val="Heading1"/>
      </w:pPr>
      <w:r>
        <w:t>PB3.4 — Multiplier comparison</w:t>
      </w:r>
    </w:p>
    <w:p>
      <w:pPr>
        <w:spacing w:after="100"/>
      </w:pPr>
      <w:r>
        <w:t>The September Plumbing workbook contains 1,120 effective roster rows. All 1,120 have a per-row workbook multiplier; no row required a multiplier gap fill.</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7365D"/>
          </w:tcPr>
          <w:p>
            <w:pPr>
              <w:spacing w:after="0"/>
            </w:pPr>
            <w:r/>
            <w:r>
              <w:rPr>
                <w:b/>
                <w:color w:val="FFFFFF"/>
                <w:sz w:val="16"/>
              </w:rPr>
              <w:t>Category</w:t>
            </w:r>
          </w:p>
        </w:tc>
        <w:tc>
          <w:tcPr>
            <w:tcW w:type="dxa" w:w="2016"/>
            <w:vAlign w:val="center"/>
            <w:shd w:fill="17365D"/>
          </w:tcPr>
          <w:p>
            <w:pPr>
              <w:spacing w:after="0"/>
            </w:pPr>
            <w:r/>
            <w:r>
              <w:rPr>
                <w:b/>
                <w:color w:val="FFFFFF"/>
                <w:sz w:val="16"/>
              </w:rPr>
              <w:t>Engine suggestion</w:t>
            </w:r>
          </w:p>
        </w:tc>
        <w:tc>
          <w:tcPr>
            <w:tcW w:type="dxa" w:w="2304"/>
            <w:vAlign w:val="center"/>
            <w:shd w:fill="17365D"/>
          </w:tcPr>
          <w:p>
            <w:pPr>
              <w:spacing w:after="0"/>
            </w:pPr>
            <w:r/>
            <w:r>
              <w:rPr>
                <w:b/>
                <w:color w:val="FFFFFF"/>
                <w:sz w:val="16"/>
              </w:rPr>
              <w:t>Dominant workbook value</w:t>
            </w:r>
          </w:p>
        </w:tc>
      </w:tr>
      <w:tr>
        <w:tc>
          <w:tcPr>
            <w:tcW w:type="dxa" w:w="2880"/>
            <w:vAlign w:val="center"/>
          </w:tcPr>
          <w:p>
            <w:pPr>
              <w:spacing w:after="0"/>
            </w:pPr>
            <w:r/>
            <w:r>
              <w:rPr>
                <w:b w:val="0"/>
                <w:sz w:val="16"/>
              </w:rPr>
              <w:t>CPVC Pipe</w:t>
            </w:r>
          </w:p>
        </w:tc>
        <w:tc>
          <w:tcPr>
            <w:tcW w:type="dxa" w:w="2016"/>
            <w:vAlign w:val="center"/>
          </w:tcPr>
          <w:p>
            <w:pPr>
              <w:spacing w:after="0"/>
            </w:pPr>
            <w:r/>
            <w:r>
              <w:rPr>
                <w:b w:val="0"/>
                <w:sz w:val="16"/>
              </w:rPr>
              <w:t>1.28</w:t>
            </w:r>
          </w:p>
        </w:tc>
        <w:tc>
          <w:tcPr>
            <w:tcW w:type="dxa" w:w="2304"/>
            <w:vAlign w:val="center"/>
          </w:tcPr>
          <w:p>
            <w:pPr>
              <w:spacing w:after="0"/>
            </w:pPr>
            <w:r/>
            <w:r>
              <w:rPr>
                <w:b w:val="0"/>
                <w:sz w:val="16"/>
              </w:rPr>
              <w:t>1.50</w:t>
            </w:r>
          </w:p>
        </w:tc>
      </w:tr>
      <w:tr>
        <w:tc>
          <w:tcPr>
            <w:tcW w:type="dxa" w:w="2880"/>
            <w:vAlign w:val="center"/>
          </w:tcPr>
          <w:p>
            <w:pPr>
              <w:spacing w:after="0"/>
            </w:pPr>
            <w:r/>
            <w:r>
              <w:rPr>
                <w:b w:val="0"/>
                <w:sz w:val="16"/>
              </w:rPr>
              <w:t>CPVC Fitting</w:t>
            </w:r>
          </w:p>
        </w:tc>
        <w:tc>
          <w:tcPr>
            <w:tcW w:type="dxa" w:w="2016"/>
            <w:vAlign w:val="center"/>
          </w:tcPr>
          <w:p>
            <w:pPr>
              <w:spacing w:after="0"/>
            </w:pPr>
            <w:r/>
            <w:r>
              <w:rPr>
                <w:b w:val="0"/>
                <w:sz w:val="16"/>
              </w:rPr>
              <w:t>1.24</w:t>
            </w:r>
          </w:p>
        </w:tc>
        <w:tc>
          <w:tcPr>
            <w:tcW w:type="dxa" w:w="2304"/>
            <w:vAlign w:val="center"/>
          </w:tcPr>
          <w:p>
            <w:pPr>
              <w:spacing w:after="0"/>
            </w:pPr>
            <w:r/>
            <w:r>
              <w:rPr>
                <w:b w:val="0"/>
                <w:sz w:val="16"/>
              </w:rPr>
              <w:t>1.50</w:t>
            </w:r>
          </w:p>
        </w:tc>
      </w:tr>
      <w:tr>
        <w:tc>
          <w:tcPr>
            <w:tcW w:type="dxa" w:w="2880"/>
            <w:vAlign w:val="center"/>
          </w:tcPr>
          <w:p>
            <w:pPr>
              <w:spacing w:after="0"/>
            </w:pPr>
            <w:r/>
            <w:r>
              <w:rPr>
                <w:b w:val="0"/>
                <w:sz w:val="16"/>
              </w:rPr>
              <w:t>CPVC Solvent</w:t>
            </w:r>
          </w:p>
        </w:tc>
        <w:tc>
          <w:tcPr>
            <w:tcW w:type="dxa" w:w="2016"/>
            <w:vAlign w:val="center"/>
          </w:tcPr>
          <w:p>
            <w:pPr>
              <w:spacing w:after="0"/>
            </w:pPr>
            <w:r/>
            <w:r>
              <w:rPr>
                <w:b w:val="0"/>
                <w:sz w:val="16"/>
              </w:rPr>
              <w:t>1.30</w:t>
            </w:r>
          </w:p>
        </w:tc>
        <w:tc>
          <w:tcPr>
            <w:tcW w:type="dxa" w:w="2304"/>
            <w:vAlign w:val="center"/>
          </w:tcPr>
          <w:p>
            <w:pPr>
              <w:spacing w:after="0"/>
            </w:pPr>
            <w:r/>
            <w:r>
              <w:rPr>
                <w:b w:val="0"/>
                <w:sz w:val="16"/>
              </w:rPr>
              <w:t>2.00</w:t>
            </w:r>
          </w:p>
        </w:tc>
      </w:tr>
      <w:tr>
        <w:tc>
          <w:tcPr>
            <w:tcW w:type="dxa" w:w="2880"/>
            <w:vAlign w:val="center"/>
          </w:tcPr>
          <w:p>
            <w:pPr>
              <w:spacing w:after="0"/>
            </w:pPr>
            <w:r/>
            <w:r>
              <w:rPr>
                <w:b w:val="0"/>
                <w:sz w:val="16"/>
              </w:rPr>
              <w:t>UPVC Pipe</w:t>
            </w:r>
          </w:p>
        </w:tc>
        <w:tc>
          <w:tcPr>
            <w:tcW w:type="dxa" w:w="2016"/>
            <w:vAlign w:val="center"/>
          </w:tcPr>
          <w:p>
            <w:pPr>
              <w:spacing w:after="0"/>
            </w:pPr>
            <w:r/>
            <w:r>
              <w:rPr>
                <w:b w:val="0"/>
                <w:sz w:val="16"/>
              </w:rPr>
              <w:t>1.33</w:t>
            </w:r>
          </w:p>
        </w:tc>
        <w:tc>
          <w:tcPr>
            <w:tcW w:type="dxa" w:w="2304"/>
            <w:vAlign w:val="center"/>
          </w:tcPr>
          <w:p>
            <w:pPr>
              <w:spacing w:after="0"/>
            </w:pPr>
            <w:r/>
            <w:r>
              <w:rPr>
                <w:b w:val="0"/>
                <w:sz w:val="16"/>
              </w:rPr>
              <w:t>1.20</w:t>
            </w:r>
          </w:p>
        </w:tc>
      </w:tr>
      <w:tr>
        <w:tc>
          <w:tcPr>
            <w:tcW w:type="dxa" w:w="2880"/>
            <w:vAlign w:val="center"/>
          </w:tcPr>
          <w:p>
            <w:pPr>
              <w:spacing w:after="0"/>
            </w:pPr>
            <w:r/>
            <w:r>
              <w:rPr>
                <w:b w:val="0"/>
                <w:sz w:val="16"/>
              </w:rPr>
              <w:t>UPVC Fitting</w:t>
            </w:r>
          </w:p>
        </w:tc>
        <w:tc>
          <w:tcPr>
            <w:tcW w:type="dxa" w:w="2016"/>
            <w:vAlign w:val="center"/>
          </w:tcPr>
          <w:p>
            <w:pPr>
              <w:spacing w:after="0"/>
            </w:pPr>
            <w:r/>
            <w:r>
              <w:rPr>
                <w:b w:val="0"/>
                <w:sz w:val="16"/>
              </w:rPr>
              <w:t>1.23</w:t>
            </w:r>
          </w:p>
        </w:tc>
        <w:tc>
          <w:tcPr>
            <w:tcW w:type="dxa" w:w="2304"/>
            <w:vAlign w:val="center"/>
          </w:tcPr>
          <w:p>
            <w:pPr>
              <w:spacing w:after="0"/>
            </w:pPr>
            <w:r/>
            <w:r>
              <w:rPr>
                <w:b w:val="0"/>
                <w:sz w:val="16"/>
              </w:rPr>
              <w:t>1.50</w:t>
            </w:r>
          </w:p>
        </w:tc>
      </w:tr>
      <w:tr>
        <w:tc>
          <w:tcPr>
            <w:tcW w:type="dxa" w:w="2880"/>
            <w:vAlign w:val="center"/>
          </w:tcPr>
          <w:p>
            <w:pPr>
              <w:spacing w:after="0"/>
            </w:pPr>
            <w:r/>
            <w:r>
              <w:rPr>
                <w:b w:val="0"/>
                <w:sz w:val="16"/>
              </w:rPr>
              <w:t>UPVC Solvent</w:t>
            </w:r>
          </w:p>
        </w:tc>
        <w:tc>
          <w:tcPr>
            <w:tcW w:type="dxa" w:w="2016"/>
            <w:vAlign w:val="center"/>
          </w:tcPr>
          <w:p>
            <w:pPr>
              <w:spacing w:after="0"/>
            </w:pPr>
            <w:r/>
            <w:r>
              <w:rPr>
                <w:b w:val="0"/>
                <w:sz w:val="16"/>
              </w:rPr>
              <w:t>1.59</w:t>
            </w:r>
          </w:p>
        </w:tc>
        <w:tc>
          <w:tcPr>
            <w:tcW w:type="dxa" w:w="2304"/>
            <w:vAlign w:val="center"/>
          </w:tcPr>
          <w:p>
            <w:pPr>
              <w:spacing w:after="0"/>
            </w:pPr>
            <w:r/>
            <w:r>
              <w:rPr>
                <w:b w:val="0"/>
                <w:sz w:val="16"/>
              </w:rPr>
              <w:t>2.00</w:t>
            </w:r>
          </w:p>
        </w:tc>
      </w:tr>
      <w:tr>
        <w:tc>
          <w:tcPr>
            <w:tcW w:type="dxa" w:w="2880"/>
            <w:vAlign w:val="center"/>
          </w:tcPr>
          <w:p>
            <w:pPr>
              <w:spacing w:after="0"/>
            </w:pPr>
            <w:r/>
            <w:r>
              <w:rPr>
                <w:b w:val="0"/>
                <w:sz w:val="16"/>
              </w:rPr>
              <w:t>SWR Pipe</w:t>
            </w:r>
          </w:p>
        </w:tc>
        <w:tc>
          <w:tcPr>
            <w:tcW w:type="dxa" w:w="2016"/>
            <w:vAlign w:val="center"/>
          </w:tcPr>
          <w:p>
            <w:pPr>
              <w:spacing w:after="0"/>
            </w:pPr>
            <w:r/>
            <w:r>
              <w:rPr>
                <w:b w:val="0"/>
                <w:sz w:val="16"/>
              </w:rPr>
              <w:t>1.31</w:t>
            </w:r>
          </w:p>
        </w:tc>
        <w:tc>
          <w:tcPr>
            <w:tcW w:type="dxa" w:w="2304"/>
            <w:vAlign w:val="center"/>
          </w:tcPr>
          <w:p>
            <w:pPr>
              <w:spacing w:after="0"/>
            </w:pPr>
            <w:r/>
            <w:r>
              <w:rPr>
                <w:b w:val="0"/>
                <w:sz w:val="16"/>
              </w:rPr>
              <w:t>1.00</w:t>
            </w:r>
          </w:p>
        </w:tc>
      </w:tr>
      <w:tr>
        <w:tc>
          <w:tcPr>
            <w:tcW w:type="dxa" w:w="2880"/>
            <w:vAlign w:val="center"/>
          </w:tcPr>
          <w:p>
            <w:pPr>
              <w:spacing w:after="0"/>
            </w:pPr>
            <w:r/>
            <w:r>
              <w:rPr>
                <w:b w:val="0"/>
                <w:sz w:val="16"/>
              </w:rPr>
              <w:t>SWR Fitting</w:t>
            </w:r>
          </w:p>
        </w:tc>
        <w:tc>
          <w:tcPr>
            <w:tcW w:type="dxa" w:w="2016"/>
            <w:vAlign w:val="center"/>
          </w:tcPr>
          <w:p>
            <w:pPr>
              <w:spacing w:after="0"/>
            </w:pPr>
            <w:r/>
            <w:r>
              <w:rPr>
                <w:b w:val="0"/>
                <w:sz w:val="16"/>
              </w:rPr>
              <w:t>1.43</w:t>
            </w:r>
          </w:p>
        </w:tc>
        <w:tc>
          <w:tcPr>
            <w:tcW w:type="dxa" w:w="2304"/>
            <w:vAlign w:val="center"/>
          </w:tcPr>
          <w:p>
            <w:pPr>
              <w:spacing w:after="0"/>
            </w:pPr>
            <w:r/>
            <w:r>
              <w:rPr>
                <w:b w:val="0"/>
                <w:sz w:val="16"/>
              </w:rPr>
              <w:t>1.20</w:t>
            </w:r>
          </w:p>
        </w:tc>
      </w:tr>
      <w:tr>
        <w:tc>
          <w:tcPr>
            <w:tcW w:type="dxa" w:w="2880"/>
            <w:vAlign w:val="center"/>
          </w:tcPr>
          <w:p>
            <w:pPr>
              <w:spacing w:after="0"/>
            </w:pPr>
            <w:r/>
            <w:r>
              <w:rPr>
                <w:b w:val="0"/>
                <w:sz w:val="16"/>
              </w:rPr>
              <w:t>SWR Solvent</w:t>
            </w:r>
          </w:p>
        </w:tc>
        <w:tc>
          <w:tcPr>
            <w:tcW w:type="dxa" w:w="2016"/>
            <w:vAlign w:val="center"/>
          </w:tcPr>
          <w:p>
            <w:pPr>
              <w:spacing w:after="0"/>
            </w:pPr>
            <w:r/>
            <w:r>
              <w:rPr>
                <w:b w:val="0"/>
                <w:sz w:val="16"/>
              </w:rPr>
              <w:t>none</w:t>
            </w:r>
          </w:p>
        </w:tc>
        <w:tc>
          <w:tcPr>
            <w:tcW w:type="dxa" w:w="2304"/>
            <w:vAlign w:val="center"/>
          </w:tcPr>
          <w:p>
            <w:pPr>
              <w:spacing w:after="0"/>
            </w:pPr>
            <w:r/>
            <w:r>
              <w:rPr>
                <w:b w:val="0"/>
                <w:sz w:val="16"/>
              </w:rPr>
              <w:t>1.00</w:t>
            </w:r>
          </w:p>
        </w:tc>
      </w:tr>
      <w:tr>
        <w:tc>
          <w:tcPr>
            <w:tcW w:type="dxa" w:w="2880"/>
            <w:vAlign w:val="center"/>
          </w:tcPr>
          <w:p>
            <w:pPr>
              <w:spacing w:after="0"/>
            </w:pPr>
            <w:r/>
            <w:r>
              <w:rPr>
                <w:b w:val="0"/>
                <w:sz w:val="16"/>
              </w:rPr>
              <w:t>AGRI Pipe</w:t>
            </w:r>
          </w:p>
        </w:tc>
        <w:tc>
          <w:tcPr>
            <w:tcW w:type="dxa" w:w="2016"/>
            <w:vAlign w:val="center"/>
          </w:tcPr>
          <w:p>
            <w:pPr>
              <w:spacing w:after="0"/>
            </w:pPr>
            <w:r/>
            <w:r>
              <w:rPr>
                <w:b w:val="0"/>
                <w:sz w:val="16"/>
              </w:rPr>
              <w:t>1.38</w:t>
            </w:r>
          </w:p>
        </w:tc>
        <w:tc>
          <w:tcPr>
            <w:tcW w:type="dxa" w:w="2304"/>
            <w:vAlign w:val="center"/>
          </w:tcPr>
          <w:p>
            <w:pPr>
              <w:spacing w:after="0"/>
            </w:pPr>
            <w:r/>
            <w:r>
              <w:rPr>
                <w:b w:val="0"/>
                <w:sz w:val="16"/>
              </w:rPr>
              <w:t>1.50</w:t>
            </w:r>
          </w:p>
        </w:tc>
      </w:tr>
      <w:tr>
        <w:tc>
          <w:tcPr>
            <w:tcW w:type="dxa" w:w="2880"/>
            <w:vAlign w:val="center"/>
          </w:tcPr>
          <w:p>
            <w:pPr>
              <w:spacing w:after="0"/>
            </w:pPr>
            <w:r/>
            <w:r>
              <w:rPr>
                <w:b w:val="0"/>
                <w:sz w:val="16"/>
              </w:rPr>
              <w:t>AGRI Fitting</w:t>
            </w:r>
          </w:p>
        </w:tc>
        <w:tc>
          <w:tcPr>
            <w:tcW w:type="dxa" w:w="2016"/>
            <w:vAlign w:val="center"/>
          </w:tcPr>
          <w:p>
            <w:pPr>
              <w:spacing w:after="0"/>
            </w:pPr>
            <w:r/>
            <w:r>
              <w:rPr>
                <w:b w:val="0"/>
                <w:sz w:val="16"/>
              </w:rPr>
              <w:t>1.27</w:t>
            </w:r>
          </w:p>
        </w:tc>
        <w:tc>
          <w:tcPr>
            <w:tcW w:type="dxa" w:w="2304"/>
            <w:vAlign w:val="center"/>
          </w:tcPr>
          <w:p>
            <w:pPr>
              <w:spacing w:after="0"/>
            </w:pPr>
            <w:r/>
            <w:r>
              <w:rPr>
                <w:b w:val="0"/>
                <w:sz w:val="16"/>
              </w:rPr>
              <w:t>1.50</w:t>
            </w:r>
          </w:p>
        </w:tc>
      </w:tr>
      <w:tr>
        <w:tc>
          <w:tcPr>
            <w:tcW w:type="dxa" w:w="2880"/>
            <w:vAlign w:val="center"/>
          </w:tcPr>
          <w:p>
            <w:pPr>
              <w:spacing w:after="0"/>
            </w:pPr>
            <w:r/>
            <w:r>
              <w:rPr>
                <w:b w:val="0"/>
                <w:sz w:val="16"/>
              </w:rPr>
              <w:t>AGRI Solvent</w:t>
            </w:r>
          </w:p>
        </w:tc>
        <w:tc>
          <w:tcPr>
            <w:tcW w:type="dxa" w:w="2016"/>
            <w:vAlign w:val="center"/>
          </w:tcPr>
          <w:p>
            <w:pPr>
              <w:spacing w:after="0"/>
            </w:pPr>
            <w:r/>
            <w:r>
              <w:rPr>
                <w:b w:val="0"/>
                <w:sz w:val="16"/>
              </w:rPr>
              <w:t>none</w:t>
            </w:r>
          </w:p>
        </w:tc>
        <w:tc>
          <w:tcPr>
            <w:tcW w:type="dxa" w:w="2304"/>
            <w:vAlign w:val="center"/>
          </w:tcPr>
          <w:p>
            <w:pPr>
              <w:spacing w:after="0"/>
            </w:pPr>
            <w:r/>
            <w:r>
              <w:rPr>
                <w:b w:val="0"/>
                <w:sz w:val="16"/>
              </w:rPr>
              <w:t>1.20</w:t>
            </w:r>
          </w:p>
        </w:tc>
      </w:tr>
    </w:tbl>
    <w:p>
      <w:pPr>
        <w:spacing w:after="0"/>
      </w:pPr>
    </w:p>
    <w:p>
      <w:pPr>
        <w:spacing w:after="100"/>
      </w:pPr>
      <w:r>
        <w:t>UPVC Pipe is mixed at row level: 39 rows use 1.2 and 13 rows use 1.5. SWR is also materially different from the engine suggestions: SWR Pipe is 1.0 and SWR Fitting is 1.2 in the workbook.</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shd w:fill="17365D"/>
          </w:tcPr>
          <w:p>
            <w:pPr>
              <w:spacing w:after="0"/>
            </w:pPr>
            <w:r/>
            <w:r>
              <w:rPr>
                <w:b/>
                <w:color w:val="FFFFFF"/>
                <w:sz w:val="16"/>
              </w:rPr>
              <w:t>Scenario</w:t>
            </w:r>
          </w:p>
        </w:tc>
        <w:tc>
          <w:tcPr>
            <w:tcW w:type="dxa" w:w="5760"/>
            <w:vAlign w:val="center"/>
            <w:shd w:fill="17365D"/>
          </w:tcPr>
          <w:p>
            <w:pPr>
              <w:spacing w:after="0"/>
            </w:pPr>
            <w:r/>
            <w:r>
              <w:rPr>
                <w:b/>
                <w:color w:val="FFFFFF"/>
                <w:sz w:val="16"/>
              </w:rPr>
              <w:t>Multiplier basis</w:t>
            </w:r>
          </w:p>
        </w:tc>
        <w:tc>
          <w:tcPr>
            <w:tcW w:type="dxa" w:w="2160"/>
            <w:vAlign w:val="center"/>
            <w:shd w:fill="17365D"/>
          </w:tcPr>
          <w:p>
            <w:pPr>
              <w:spacing w:after="0"/>
            </w:pPr>
            <w:r/>
            <w:r>
              <w:rPr>
                <w:b/>
                <w:color w:val="FFFFFF"/>
                <w:sz w:val="16"/>
              </w:rPr>
              <w:t>Estimated September total</w:t>
            </w:r>
          </w:p>
        </w:tc>
      </w:tr>
      <w:tr>
        <w:tc>
          <w:tcPr>
            <w:tcW w:type="dxa" w:w="2232"/>
            <w:vAlign w:val="center"/>
          </w:tcPr>
          <w:p>
            <w:pPr>
              <w:spacing w:after="0"/>
            </w:pPr>
            <w:r/>
            <w:r>
              <w:rPr>
                <w:b w:val="0"/>
                <w:sz w:val="16"/>
              </w:rPr>
              <w:t>A — Engine suggestion</w:t>
            </w:r>
          </w:p>
        </w:tc>
        <w:tc>
          <w:tcPr>
            <w:tcW w:type="dxa" w:w="5760"/>
            <w:vAlign w:val="center"/>
          </w:tcPr>
          <w:p>
            <w:pPr>
              <w:spacing w:after="0"/>
            </w:pPr>
            <w:r/>
            <w:r>
              <w:rPr>
                <w:b w:val="0"/>
                <w:sz w:val="16"/>
              </w:rPr>
              <w:t>Engine category suggestion; workbook/default fallback only where no suggestion exists</w:t>
            </w:r>
          </w:p>
        </w:tc>
        <w:tc>
          <w:tcPr>
            <w:tcW w:type="dxa" w:w="2160"/>
            <w:vAlign w:val="center"/>
          </w:tcPr>
          <w:p>
            <w:pPr>
              <w:spacing w:after="0"/>
            </w:pPr>
            <w:r/>
            <w:r>
              <w:rPr>
                <w:b w:val="0"/>
                <w:sz w:val="16"/>
              </w:rPr>
              <w:t>2,060,819.26</w:t>
            </w:r>
          </w:p>
        </w:tc>
      </w:tr>
      <w:tr>
        <w:tc>
          <w:tcPr>
            <w:tcW w:type="dxa" w:w="2232"/>
            <w:vAlign w:val="center"/>
          </w:tcPr>
          <w:p>
            <w:pPr>
              <w:spacing w:after="0"/>
            </w:pPr>
            <w:r/>
            <w:r>
              <w:rPr>
                <w:b w:val="0"/>
                <w:sz w:val="16"/>
              </w:rPr>
              <w:t>B — Workbook category value</w:t>
            </w:r>
          </w:p>
        </w:tc>
        <w:tc>
          <w:tcPr>
            <w:tcW w:type="dxa" w:w="5760"/>
            <w:vAlign w:val="center"/>
          </w:tcPr>
          <w:p>
            <w:pPr>
              <w:spacing w:after="0"/>
            </w:pPr>
            <w:r/>
            <w:r>
              <w:rPr>
                <w:b w:val="0"/>
                <w:sz w:val="16"/>
              </w:rPr>
              <w:t>Dominant workbook multiplier per category</w:t>
            </w:r>
          </w:p>
        </w:tc>
        <w:tc>
          <w:tcPr>
            <w:tcW w:type="dxa" w:w="2160"/>
            <w:vAlign w:val="center"/>
          </w:tcPr>
          <w:p>
            <w:pPr>
              <w:spacing w:after="0"/>
            </w:pPr>
            <w:r/>
            <w:r>
              <w:rPr>
                <w:b w:val="0"/>
                <w:sz w:val="16"/>
              </w:rPr>
              <w:t>2,292,220.60</w:t>
            </w:r>
          </w:p>
        </w:tc>
      </w:tr>
      <w:tr>
        <w:tc>
          <w:tcPr>
            <w:tcW w:type="dxa" w:w="2232"/>
            <w:vAlign w:val="center"/>
          </w:tcPr>
          <w:p>
            <w:pPr>
              <w:spacing w:after="0"/>
            </w:pPr>
            <w:r/>
            <w:r>
              <w:rPr>
                <w:b w:val="0"/>
                <w:sz w:val="16"/>
              </w:rPr>
              <w:t>C — Workbook row value</w:t>
            </w:r>
          </w:p>
        </w:tc>
        <w:tc>
          <w:tcPr>
            <w:tcW w:type="dxa" w:w="5760"/>
            <w:vAlign w:val="center"/>
          </w:tcPr>
          <w:p>
            <w:pPr>
              <w:spacing w:after="0"/>
            </w:pPr>
            <w:r/>
            <w:r>
              <w:rPr>
                <w:b w:val="0"/>
                <w:sz w:val="16"/>
              </w:rPr>
              <w:t>Per-row workbook multiplier when present; engine fallback otherwise</w:t>
            </w:r>
          </w:p>
        </w:tc>
        <w:tc>
          <w:tcPr>
            <w:tcW w:type="dxa" w:w="2160"/>
            <w:vAlign w:val="center"/>
          </w:tcPr>
          <w:p>
            <w:pPr>
              <w:spacing w:after="0"/>
            </w:pPr>
            <w:r/>
            <w:r>
              <w:rPr>
                <w:b w:val="0"/>
                <w:sz w:val="16"/>
              </w:rPr>
              <w:t>2,308,629.40</w:t>
            </w:r>
          </w:p>
        </w:tc>
      </w:tr>
    </w:tbl>
    <w:p>
      <w:pPr>
        <w:spacing w:after="0"/>
      </w:pPr>
    </w:p>
    <w:p>
      <w:pPr>
        <w:spacing w:after="100"/>
      </w:pPr>
      <w:r>
        <w:t>The estimates used the September Plumbing workbook, stored Plumbing FG upload #13 for stock and pending-last-month, and current pending upload #18. They were computed in memory only; no plan run was created and no overrides were changed.</w:t>
      </w:r>
    </w:p>
    <w:p>
      <w:pPr>
        <w:spacing w:after="100"/>
      </w:pPr>
      <w:r>
        <w:t>Compared with scenario A, scenario B is approximately 231,401 pieces higher and scenario C is approximately 247,810 pieces higher. These are scenario differences, not a recommendation.</w:t>
      </w:r>
    </w:p>
    <w:p>
      <w:pPr>
        <w:spacing w:after="100"/>
      </w:pPr>
      <w:r>
        <w:t>The application recomputes buffer from average sales multiplied by the selected multiplier. Prayag’s BUFFER STOCK REQ column is not treated as authoritative, so the SWR buffer-basis limitation remains explicit.</w:t>
      </w:r>
    </w:p>
    <w:p>
      <w:pPr>
        <w:pStyle w:val="Heading1"/>
      </w:pPr>
      <w:r>
        <w:t>Verification and current environment status</w:t>
      </w:r>
    </w:p>
    <w:p>
      <w:pPr>
        <w:pStyle w:val="ListBullet"/>
        <w:spacing w:after="40"/>
      </w:pPr>
      <w:r>
        <w:t>API typecheck workflow completed.</w:t>
      </w:r>
    </w:p>
    <w:p>
      <w:pPr>
        <w:pStyle w:val="ListBullet"/>
        <w:spacing w:after="40"/>
      </w:pPr>
      <w:r>
        <w:t>Plumbing regression failed on existing golden-integrity and input-environment checks, including the September Plumbing FG upload guard.</w:t>
      </w:r>
    </w:p>
    <w:p>
      <w:pPr>
        <w:pStyle w:val="ListBullet"/>
        <w:spacing w:after="40"/>
      </w:pPr>
      <w:r>
        <w:t>API tests: 275 passed and 1 failed. The failure reached an invalid scheduler demand row before the expected machine-hour error.</w:t>
      </w:r>
    </w:p>
    <w:p>
      <w:pPr>
        <w:pStyle w:val="ListBullet"/>
        <w:spacing w:after="40"/>
      </w:pPr>
      <w:r>
        <w:t>No prohibited endpoint was called, and no deployment or publication was performed.</w:t>
      </w:r>
    </w:p>
    <w:p>
      <w:pPr>
        <w:pStyle w:val="Heading1"/>
      </w:pPr>
      <w:r>
        <w:t>Deferred and gated items</w:t>
      </w:r>
    </w:p>
    <w:p>
      <w:pPr>
        <w:pStyle w:val="ListBullet"/>
        <w:spacing w:after="40"/>
      </w:pPr>
      <w:r>
        <w:t>PB3.2 period-detection code change requires Nishant’s explicit approval.</w:t>
      </w:r>
    </w:p>
    <w:p>
      <w:pPr>
        <w:pStyle w:val="ListBullet"/>
        <w:spacing w:after="40"/>
      </w:pPr>
      <w:r>
        <w:t>PB3.3 header-fallback removal/change requires Nishant’s explicit approval.</w:t>
      </w:r>
    </w:p>
    <w:p>
      <w:pPr>
        <w:pStyle w:val="ListBullet"/>
        <w:spacing w:after="40"/>
      </w:pPr>
      <w:r>
        <w:t>PB4 remains separately approved but was not performed.</w:t>
      </w:r>
    </w:p>
    <w:p>
      <w:pPr>
        <w:pStyle w:val="ListBullet"/>
        <w:spacing w:after="40"/>
      </w:pPr>
      <w:r>
        <w:t>PTMT Stage H4a and Stage I remain open and unaffected.</w:t>
      </w:r>
    </w:p>
    <w:p>
      <w:pPr>
        <w:pStyle w:val="Heading1"/>
      </w:pPr>
      <w:r>
        <w:t>Related evidence files</w:t>
      </w:r>
    </w:p>
    <w:p>
      <w:pPr>
        <w:pStyle w:val="ListBullet"/>
        <w:spacing w:after="40"/>
      </w:pPr>
      <w:r>
        <w:t>.agents/outputs/plumbing-pb3-pb3.0-read-only-report.md</w:t>
      </w:r>
    </w:p>
    <w:p>
      <w:pPr>
        <w:pStyle w:val="ListBullet"/>
        <w:spacing w:after="40"/>
      </w:pPr>
      <w:r>
        <w:t>.agents/outputs/plumbing-pb3-missing-september-roster.csv</w:t>
      </w:r>
    </w:p>
    <w:p>
      <w:pPr>
        <w:pStyle w:val="ListBullet"/>
        <w:spacing w:after="40"/>
      </w:pPr>
      <w:r>
        <w:t>.agents/outputs/plumbing-pb3-category-variants.csv</w:t>
      </w:r>
    </w:p>
    <w:p>
      <w:pPr>
        <w:pStyle w:val="ListBullet"/>
        <w:spacing w:after="40"/>
      </w:pPr>
      <w:r>
        <w:t>.agents/outputs/plumbing-pb3-direction-estimate.csv</w:t>
      </w:r>
    </w:p>
    <w:p>
      <w:pPr>
        <w:pStyle w:val="ListBullet"/>
        <w:spacing w:after="40"/>
      </w:pPr>
      <w:r>
        <w:t>.agents/outputs/plumbing-pb3-class-summary.csv</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Plumbing Stage B — PB3.0b / PB3.4 Read-only Evidence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