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Dummy-first Priority</w:t>
        <w:br/>
        <w:t>and Night-shift Planning</w:t>
      </w:r>
    </w:p>
    <w:p>
      <w:pPr>
        <w:jc w:val="center"/>
      </w:pPr>
      <w:r>
        <w:rPr>
          <w:i/>
          <w:color w:val="595959"/>
          <w:sz w:val="22"/>
        </w:rPr>
        <w:t>Read-only investigation · NS.0–NS.2 · 9 September 2026</w:t>
      </w:r>
    </w:p>
    <w:p>
      <w:r>
        <w:t>Boundary: no code, plan, capacity fit, run, finalization, publication, deployment, or protected run was changed. Runs #28, #30, and #32 were not touched. NS.1 and NS.2 are design descriptions only.</w:t>
      </w:r>
    </w:p>
    <w:p>
      <w:pPr>
        <w:pStyle w:val="Heading1"/>
      </w:pPr>
      <w:r>
        <w:t>Executive summary</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b/>
                <w:color w:val="FFFFFF"/>
              </w:rPr>
              <w:t>Question</w:t>
            </w:r>
          </w:p>
        </w:tc>
        <w:tc>
          <w:tcPr>
            <w:tcW w:type="dxa" w:w="6912"/>
            <w:vAlign w:val="center"/>
            <w:shd w:fill="1F4E79"/>
          </w:tcPr>
          <w:p>
            <w:r/>
            <w:r>
              <w:rPr>
                <w:b/>
                <w:color w:val="FFFFFF"/>
              </w:rPr>
              <w:t>Observed result</w:t>
            </w:r>
          </w:p>
        </w:tc>
      </w:tr>
      <w:tr>
        <w:tc>
          <w:tcPr>
            <w:tcW w:type="dxa" w:w="2880"/>
            <w:vAlign w:val="center"/>
          </w:tcPr>
          <w:p>
            <w:r/>
            <w:r>
              <w:rPr>
                <w:b w:val="0"/>
              </w:rPr>
              <w:t>Does PTMT already build dummy first?</w:t>
            </w:r>
          </w:p>
        </w:tc>
        <w:tc>
          <w:tcPr>
            <w:tcW w:type="dxa" w:w="6912"/>
            <w:vAlign w:val="center"/>
          </w:tcPr>
          <w:p>
            <w:r/>
            <w:r>
              <w:rPr>
                <w:b w:val="0"/>
              </w:rPr>
              <w:t>Yes. runPtmtPass2 creates priority lines in the order dummy → orders → buffer and consumes weekly capacity in that order.</w:t>
            </w:r>
          </w:p>
        </w:tc>
      </w:tr>
      <w:tr>
        <w:tc>
          <w:tcPr>
            <w:tcW w:type="dxa" w:w="2880"/>
            <w:vAlign w:val="center"/>
            <w:shd w:fill="EAF2F8"/>
          </w:tcPr>
          <w:p>
            <w:r/>
            <w:r>
              <w:rPr>
                <w:b w:val="0"/>
              </w:rPr>
              <w:t>Is PTMT priority global?</w:t>
            </w:r>
          </w:p>
        </w:tc>
        <w:tc>
          <w:tcPr>
            <w:tcW w:type="dxa" w:w="6912"/>
            <w:vAlign w:val="center"/>
            <w:shd w:fill="EAF2F8"/>
          </w:tcPr>
          <w:p>
            <w:r/>
            <w:r>
              <w:rPr>
                <w:b w:val="0"/>
              </w:rPr>
              <w:t>The line list is globally sorted, but capacity is independently tracked per category/capacity pool. Shared categories compete in the same pool; unrelated pools do not compete.</w:t>
            </w:r>
          </w:p>
        </w:tc>
      </w:tr>
      <w:tr>
        <w:tc>
          <w:tcPr>
            <w:tcW w:type="dxa" w:w="2880"/>
            <w:vAlign w:val="center"/>
          </w:tcPr>
          <w:p>
            <w:r/>
            <w:r>
              <w:rPr>
                <w:b w:val="0"/>
              </w:rPr>
              <w:t>Does Plumbing build dummy first?</w:t>
            </w:r>
          </w:p>
        </w:tc>
        <w:tc>
          <w:tcPr>
            <w:tcW w:type="dxa" w:w="6912"/>
            <w:vAlign w:val="center"/>
          </w:tcPr>
          <w:p>
            <w:r/>
            <w:r>
              <w:rPr>
                <w:b w:val="0"/>
              </w:rPr>
              <w:t>No explicit dummy/last-month-pending priority exists. Plumbing uses cover-band assignment, then machine cascade urgency by cover; the machine cascade does not inspect dummy.</w:t>
            </w:r>
          </w:p>
        </w:tc>
      </w:tr>
      <w:tr>
        <w:tc>
          <w:tcPr>
            <w:tcW w:type="dxa" w:w="2880"/>
            <w:vAlign w:val="center"/>
            <w:shd w:fill="EAF2F8"/>
          </w:tcPr>
          <w:p>
            <w:r/>
            <w:r>
              <w:rPr>
                <w:b w:val="0"/>
              </w:rPr>
              <w:t>September dummy estimate</w:t>
            </w:r>
          </w:p>
        </w:tc>
        <w:tc>
          <w:tcPr>
            <w:tcW w:type="dxa" w:w="6912"/>
            <w:vAlign w:val="center"/>
            <w:shd w:fill="EAF2F8"/>
          </w:tcPr>
          <w:p>
            <w:r/>
            <w:r>
              <w:rPr>
                <w:b w:val="0"/>
              </w:rPr>
              <w:t>The current frozen draft #2574 contains 232,214 dummy pieces across 214 rows. A read-only in-memory cover-band replay places all of those rows in W1. The query’s 214,106 is a separate Prayag-comparison basis, not the current app run total; on that stated basis the estimate is also 214,106 in W1.</w:t>
            </w:r>
          </w:p>
        </w:tc>
      </w:tr>
      <w:tr>
        <w:tc>
          <w:tcPr>
            <w:tcW w:type="dxa" w:w="2880"/>
            <w:vAlign w:val="center"/>
          </w:tcPr>
          <w:p>
            <w:r/>
            <w:r>
              <w:rPr>
                <w:b w:val="0"/>
              </w:rPr>
              <w:t>Night shift today</w:t>
            </w:r>
          </w:p>
        </w:tc>
        <w:tc>
          <w:tcPr>
            <w:tcW w:type="dxa" w:w="6912"/>
            <w:vAlign w:val="center"/>
          </w:tcPr>
          <w:p>
            <w:r/>
            <w:r>
              <w:rPr>
                <w:b w:val="0"/>
              </w:rPr>
              <w:t>The current Plumbing machine model already assumes two shifts of 10 hours per day per machine. It does not calculate whether a second shift is needed.</w:t>
            </w:r>
          </w:p>
        </w:tc>
      </w:tr>
    </w:tbl>
    <w:p/>
    <w:p>
      <w:pPr>
        <w:pStyle w:val="Heading1"/>
      </w:pPr>
      <w:r>
        <w:t>NS.0.1 — PTMT dummy-first behavior</w:t>
      </w:r>
    </w:p>
    <w:p>
      <w:r>
        <w:t>Function: runPtmtPass2 in artifacts/api-server/src/lib/ptmt-pass2-engine.ts.</w:t>
      </w:r>
    </w:p>
    <w:p>
      <w:r>
        <w:t>The function componentDemand splits each item into:</w:t>
      </w:r>
    </w:p>
    <w:p>
      <w:pPr>
        <w:pStyle w:val="ListBullet"/>
      </w:pPr>
      <w:r>
        <w:t>dummy = min(temporaryPlan, pendingLastMonth)</w:t>
      </w:r>
    </w:p>
    <w:p>
      <w:pPr>
        <w:pStyle w:val="ListBullet"/>
      </w:pPr>
      <w:r>
        <w:t>orders = the next current-order portion</w:t>
      </w:r>
    </w:p>
    <w:p>
      <w:pPr>
        <w:pStyle w:val="ListBullet"/>
      </w:pPr>
      <w:r>
        <w:t>buffer = the remaining demand; Unclassified buffer is kept at zero</w:t>
      </w:r>
    </w:p>
    <w:p>
      <w:r>
        <w:t>It then creates priority lines with priority 0 for dummy, priority 1 for orders, and priority 2 for buffer. The sort is priority first; within dummy/orders it uses quantity descending then item key; buffer uses lowest cover first.</w:t>
      </w:r>
    </w:p>
    <w:p>
      <w:r>
        <w:t>Capacity scope: each line points to a capacityPool. weeklyRemaining is a separate W1–W4 capacity array per pool. Therefore “dummy first” means first within each capacity pool, not a single plant-wide queue. Shared PTMT categories such as the configured shared pools compete together; independent pools retain independent capacity.</w:t>
      </w:r>
    </w:p>
    <w:p>
      <w:r>
        <w:t>When capacity runs out in the middle of a priority band, the line keeps a residual and continues through W1, W2, W3, and W4. The partial item is not discarded at the first shortage. Any residual after W4 becomes cannotBeMade. The invariants explicitly retain productionPlan + cannotBeMade = temporaryPlan.</w:t>
      </w:r>
    </w:p>
    <w:p>
      <w:pPr>
        <w:pStyle w:val="Heading1"/>
      </w:pPr>
      <w:r>
        <w:t>NS.0.2 — Plumbing behavior</w:t>
      </w:r>
    </w:p>
    <w:p>
      <w:r>
        <w:t>Function: annotateWeeklyRelease in artifacts/api-server/src/lib/calc.ts.</w:t>
      </w:r>
    </w:p>
    <w:p>
      <w:r>
        <w:t>The function checks only maxProduction and cover. It assigns cover to W1/W2/W3/W4 using the category band thresholds; OS and cover at/above the final band go to W1. A missing band also falls back to W1. There is no condition on dummy, pendingLastMonth, orders, or buffer.</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b/>
                <w:color w:val="FFFFFF"/>
              </w:rPr>
              <w:t>Plumbing stage</w:t>
            </w:r>
          </w:p>
        </w:tc>
        <w:tc>
          <w:tcPr>
            <w:tcW w:type="dxa" w:w="6624"/>
            <w:vAlign w:val="center"/>
            <w:shd w:fill="1F4E79"/>
          </w:tcPr>
          <w:p>
            <w:r/>
            <w:r>
              <w:rPr>
                <w:b/>
                <w:color w:val="FFFFFF"/>
              </w:rPr>
              <w:t>What determines order</w:t>
            </w:r>
          </w:p>
        </w:tc>
      </w:tr>
      <w:tr>
        <w:tc>
          <w:tcPr>
            <w:tcW w:type="dxa" w:w="3168"/>
            <w:vAlign w:val="center"/>
          </w:tcPr>
          <w:p>
            <w:r/>
            <w:r>
              <w:rPr>
                <w:b w:val="0"/>
              </w:rPr>
              <w:t>annotateWeeklyRelease</w:t>
            </w:r>
          </w:p>
        </w:tc>
        <w:tc>
          <w:tcPr>
            <w:tcW w:type="dxa" w:w="6624"/>
            <w:vAlign w:val="center"/>
          </w:tcPr>
          <w:p>
            <w:r/>
            <w:r>
              <w:rPr>
                <w:b w:val="0"/>
              </w:rPr>
              <w:t>Cover band only. Positive rows receive their full desired quantity in one W column.</w:t>
            </w:r>
          </w:p>
        </w:tc>
      </w:tr>
      <w:tr>
        <w:tc>
          <w:tcPr>
            <w:tcW w:type="dxa" w:w="3168"/>
            <w:vAlign w:val="center"/>
            <w:shd w:fill="EAF2F8"/>
          </w:tcPr>
          <w:p>
            <w:r/>
            <w:r>
              <w:rPr>
                <w:b w:val="0"/>
              </w:rPr>
              <w:t>runMachineCascade — item order</w:t>
            </w:r>
          </w:p>
        </w:tc>
        <w:tc>
          <w:tcPr>
            <w:tcW w:type="dxa" w:w="6624"/>
            <w:vAlign w:val="center"/>
            <w:shd w:fill="EAF2F8"/>
          </w:tcPr>
          <w:p>
            <w:r/>
            <w:r>
              <w:rPr>
                <w:b w:val="0"/>
              </w:rPr>
              <w:t>Cover ascending among items whose desiredWeek has arrived. Dummy is not read.</w:t>
            </w:r>
          </w:p>
        </w:tc>
      </w:tr>
      <w:tr>
        <w:tc>
          <w:tcPr>
            <w:tcW w:type="dxa" w:w="3168"/>
            <w:vAlign w:val="center"/>
          </w:tcPr>
          <w:p>
            <w:r/>
            <w:r>
              <w:rPr>
                <w:b w:val="0"/>
              </w:rPr>
              <w:t>runMachineCascade — machine choice</w:t>
            </w:r>
          </w:p>
        </w:tc>
        <w:tc>
          <w:tcPr>
            <w:tcW w:type="dxa" w:w="6624"/>
            <w:vAlign w:val="center"/>
          </w:tcPr>
          <w:p>
            <w:r/>
            <w:r>
              <w:rPr>
                <w:b w:val="0"/>
              </w:rPr>
              <w:t>For PIPE: dedicated machines first, then flex machines, machine ID ascending. For MOULDING: highest remaining piece capacity first.</w:t>
            </w:r>
          </w:p>
        </w:tc>
      </w:tr>
      <w:tr>
        <w:tc>
          <w:tcPr>
            <w:tcW w:type="dxa" w:w="3168"/>
            <w:vAlign w:val="center"/>
            <w:shd w:fill="EAF2F8"/>
          </w:tcPr>
          <w:p>
            <w:r/>
            <w:r>
              <w:rPr>
                <w:b w:val="0"/>
              </w:rPr>
              <w:t>Residual handling</w:t>
            </w:r>
          </w:p>
        </w:tc>
        <w:tc>
          <w:tcPr>
            <w:tcW w:type="dxa" w:w="6624"/>
            <w:vAlign w:val="center"/>
            <w:shd w:fill="EAF2F8"/>
          </w:tcPr>
          <w:p>
            <w:r/>
            <w:r>
              <w:rPr>
                <w:b w:val="0"/>
              </w:rPr>
              <w:t>Partial quantities are allocated; residual carries to later weeks; remaining after W4 is unfulfillable.</w:t>
            </w:r>
          </w:p>
        </w:tc>
      </w:tr>
    </w:tbl>
    <w:p/>
    <w:p>
      <w:r>
        <w:t>Conclusion from the code: Plumbing has no dummy/last-month-pending priority anywhere in the cover-band → machine-cascade path. Its closest urgency signal is low cover. This is distinct from PTMT’s explicit component priority.</w:t>
      </w:r>
    </w:p>
    <w:p>
      <w:pPr>
        <w:pStyle w:val="Heading1"/>
      </w:pPr>
      <w:r>
        <w:t>NS.0.3 — September dummy estimate</w:t>
      </w:r>
    </w:p>
    <w:p>
      <w:r>
        <w:t>The current readback of draft Temporary Plan #2574 reports 232,214 dummy pieces across 214 item rows. The query states 214,106 pieces, which comes from the earlier independent Prayag comparison using Prayag’s per-item multipliers. The app draft’s dummy field is 232,214, so both bases are shown rather than silently substituted.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168"/>
            <w:vAlign w:val="center"/>
            <w:shd w:fill="1F4E79"/>
          </w:tcPr>
          <w:p>
            <w:r/>
            <w:r>
              <w:rPr>
                <w:b/>
                <w:color w:val="FFFFFF"/>
              </w:rPr>
              <w:t>Basis</w:t>
            </w:r>
          </w:p>
        </w:tc>
        <w:tc>
          <w:tcPr>
            <w:tcW w:type="dxa" w:w="1440"/>
            <w:vAlign w:val="center"/>
            <w:shd w:fill="1F4E79"/>
          </w:tcPr>
          <w:p>
            <w:r/>
            <w:r>
              <w:rPr>
                <w:b/>
                <w:color w:val="FFFFFF"/>
              </w:rPr>
              <w:t>Dummy total</w:t>
            </w:r>
          </w:p>
        </w:tc>
        <w:tc>
          <w:tcPr>
            <w:tcW w:type="dxa" w:w="2160"/>
            <w:vAlign w:val="center"/>
            <w:shd w:fill="1F4E79"/>
          </w:tcPr>
          <w:p>
            <w:r/>
            <w:r>
              <w:rPr>
                <w:b/>
                <w:color w:val="FFFFFF"/>
              </w:rPr>
              <w:t>Existing cover-band W1 estimate</w:t>
            </w:r>
          </w:p>
        </w:tc>
        <w:tc>
          <w:tcPr>
            <w:tcW w:type="dxa" w:w="1440"/>
            <w:vAlign w:val="center"/>
            <w:shd w:fill="1F4E79"/>
          </w:tcPr>
          <w:p>
            <w:r/>
            <w:r>
              <w:rPr>
                <w:b/>
                <w:color w:val="FFFFFF"/>
              </w:rPr>
              <w:t>W2–W4 estimate</w:t>
            </w:r>
          </w:p>
        </w:tc>
        <w:tc>
          <w:tcPr>
            <w:tcW w:type="dxa" w:w="2592"/>
            <w:vAlign w:val="center"/>
            <w:shd w:fill="1F4E79"/>
          </w:tcPr>
          <w:p>
            <w:r/>
            <w:r>
              <w:rPr>
                <w:b/>
                <w:color w:val="FFFFFF"/>
              </w:rPr>
              <w:t>Change under absolute dummy priority</w:t>
            </w:r>
          </w:p>
        </w:tc>
      </w:tr>
      <w:tr>
        <w:tc>
          <w:tcPr>
            <w:tcW w:type="dxa" w:w="3168"/>
            <w:vAlign w:val="center"/>
          </w:tcPr>
          <w:p>
            <w:r/>
            <w:r>
              <w:rPr>
                <w:b w:val="0"/>
              </w:rPr>
              <w:t>Current app draft #2574</w:t>
            </w:r>
          </w:p>
        </w:tc>
        <w:tc>
          <w:tcPr>
            <w:tcW w:type="dxa" w:w="1440"/>
            <w:vAlign w:val="center"/>
          </w:tcPr>
          <w:p>
            <w:r/>
            <w:r>
              <w:rPr>
                <w:b w:val="0"/>
              </w:rPr>
              <w:t>232,214</w:t>
            </w:r>
          </w:p>
        </w:tc>
        <w:tc>
          <w:tcPr>
            <w:tcW w:type="dxa" w:w="2160"/>
            <w:vAlign w:val="center"/>
          </w:tcPr>
          <w:p>
            <w:r/>
            <w:r>
              <w:rPr>
                <w:b w:val="0"/>
              </w:rPr>
              <w:t>232,214</w:t>
            </w:r>
          </w:p>
        </w:tc>
        <w:tc>
          <w:tcPr>
            <w:tcW w:type="dxa" w:w="1440"/>
            <w:vAlign w:val="center"/>
          </w:tcPr>
          <w:p>
            <w:r/>
            <w:r>
              <w:rPr>
                <w:b w:val="0"/>
              </w:rPr>
              <w:t>0</w:t>
            </w:r>
          </w:p>
        </w:tc>
        <w:tc>
          <w:tcPr>
            <w:tcW w:type="dxa" w:w="2592"/>
            <w:vAlign w:val="center"/>
          </w:tcPr>
          <w:p>
            <w:r/>
            <w:r>
              <w:rPr>
                <w:b w:val="0"/>
              </w:rPr>
              <w:t>0 pieces; no category shifts</w:t>
            </w:r>
          </w:p>
        </w:tc>
      </w:tr>
      <w:tr>
        <w:tc>
          <w:tcPr>
            <w:tcW w:type="dxa" w:w="3168"/>
            <w:vAlign w:val="center"/>
            <w:shd w:fill="EAF2F8"/>
          </w:tcPr>
          <w:p>
            <w:r/>
            <w:r>
              <w:rPr>
                <w:b w:val="0"/>
              </w:rPr>
              <w:t>Query’s Prayag comparison basis</w:t>
            </w:r>
          </w:p>
        </w:tc>
        <w:tc>
          <w:tcPr>
            <w:tcW w:type="dxa" w:w="1440"/>
            <w:vAlign w:val="center"/>
            <w:shd w:fill="EAF2F8"/>
          </w:tcPr>
          <w:p>
            <w:r/>
            <w:r>
              <w:rPr>
                <w:b w:val="0"/>
              </w:rPr>
              <w:t>214,106</w:t>
            </w:r>
          </w:p>
        </w:tc>
        <w:tc>
          <w:tcPr>
            <w:tcW w:type="dxa" w:w="2160"/>
            <w:vAlign w:val="center"/>
            <w:shd w:fill="EAF2F8"/>
          </w:tcPr>
          <w:p>
            <w:r/>
            <w:r>
              <w:rPr>
                <w:b w:val="0"/>
              </w:rPr>
              <w:t>214,106 (scaled to the stated basis)</w:t>
            </w:r>
          </w:p>
        </w:tc>
        <w:tc>
          <w:tcPr>
            <w:tcW w:type="dxa" w:w="1440"/>
            <w:vAlign w:val="center"/>
            <w:shd w:fill="EAF2F8"/>
          </w:tcPr>
          <w:p>
            <w:r/>
            <w:r>
              <w:rPr>
                <w:b w:val="0"/>
              </w:rPr>
              <w:t>0</w:t>
            </w:r>
          </w:p>
        </w:tc>
        <w:tc>
          <w:tcPr>
            <w:tcW w:type="dxa" w:w="2592"/>
            <w:vAlign w:val="center"/>
            <w:shd w:fill="EAF2F8"/>
          </w:tcPr>
          <w:p>
            <w:r/>
            <w:r>
              <w:rPr>
                <w:b w:val="0"/>
              </w:rPr>
              <w:t>0 pieces; no category shifts</w:t>
            </w:r>
          </w:p>
        </w:tc>
      </w:tr>
    </w:tbl>
    <w:p/>
    <w:p>
      <w:r>
        <w:t>Method: read the frozen draft rows, use each row’s stored stock and avg3MoSale to replay the existing cover-band rule in memory, and attribute the row’s dummy quantity to the resulting week. Every row with a positive dummy amount landed in W1. No plan was rebuilt or persisted.</w:t>
      </w:r>
    </w:p>
    <w:p>
      <w:r>
        <w:t>For the current app basis, the category dummy totals are: CPVC Pipe 14,874; CPVC Fitting 15,414; CPVC Solvent 4,229; UPVC Pipe 9,805; UPVC Fitting 108,443; UPVC Solvent 50; SWR Pipe 16,120; SWR Fitting 45,349; AGRI Pipe 589; AGRI Fitting 9,750; Unclassified 7,591. All are already W1 under the replay, so an absolute dummy-priority rule would not shift these rows in this snapshot.</w:t>
      </w:r>
    </w:p>
    <w:p>
      <w:pPr>
        <w:pStyle w:val="Heading1"/>
      </w:pPr>
      <w:r>
        <w:t>NS.1 — Night-shift design questions</w:t>
      </w:r>
    </w:p>
    <w:p>
      <w:pPr>
        <w:pStyle w:val="Heading2"/>
      </w:pPr>
      <w:r>
        <w:t>NS.1.1 — Where the current capacity lives</w:t>
      </w:r>
    </w:p>
    <w:p>
      <w:r>
        <w:t>For Plumbing, capacity is held per row in plumbing_machine_capacity, not as one plant-wide 20-hour value. The seeded rows use shiftsPerDay = 2, hoursPerShift = 10, workingDays = 25, plus a machine rate map and locked-out flag.</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79"/>
          </w:tcPr>
          <w:p>
            <w:r/>
            <w:r>
              <w:rPr>
                <w:b/>
                <w:color w:val="FFFFFF"/>
              </w:rPr>
              <w:t>Current Plumbing machine model</w:t>
            </w:r>
          </w:p>
        </w:tc>
        <w:tc>
          <w:tcPr>
            <w:tcW w:type="dxa" w:w="6480"/>
            <w:vAlign w:val="center"/>
            <w:shd w:fill="1F4E79"/>
          </w:tcPr>
          <w:p>
            <w:r/>
            <w:r>
              <w:rPr>
                <w:b/>
                <w:color w:val="FFFFFF"/>
              </w:rPr>
              <w:t>Observed value</w:t>
            </w:r>
          </w:p>
        </w:tc>
      </w:tr>
      <w:tr>
        <w:tc>
          <w:tcPr>
            <w:tcW w:type="dxa" w:w="3312"/>
            <w:vAlign w:val="center"/>
          </w:tcPr>
          <w:p>
            <w:r/>
            <w:r>
              <w:rPr>
                <w:b w:val="0"/>
              </w:rPr>
              <w:t>PIPE machines</w:t>
            </w:r>
          </w:p>
        </w:tc>
        <w:tc>
          <w:tcPr>
            <w:tcW w:type="dxa" w:w="6480"/>
            <w:vAlign w:val="center"/>
          </w:tcPr>
          <w:p>
            <w:r/>
            <w:r>
              <w:rPr>
                <w:b w:val="0"/>
              </w:rPr>
              <w:t>MC1–MC9; MC7 and MC8 locked out; active rows are dedicated/flex by material.</w:t>
            </w:r>
          </w:p>
        </w:tc>
      </w:tr>
      <w:tr>
        <w:tc>
          <w:tcPr>
            <w:tcW w:type="dxa" w:w="3312"/>
            <w:vAlign w:val="center"/>
            <w:shd w:fill="EAF2F8"/>
          </w:tcPr>
          <w:p>
            <w:r/>
            <w:r>
              <w:rPr>
                <w:b w:val="0"/>
              </w:rPr>
              <w:t>MOULDING machines</w:t>
            </w:r>
          </w:p>
        </w:tc>
        <w:tc>
          <w:tcPr>
            <w:tcW w:type="dxa" w:w="6480"/>
            <w:vAlign w:val="center"/>
            <w:shd w:fill="EAF2F8"/>
          </w:tcPr>
          <w:p>
            <w:r/>
            <w:r>
              <w:rPr>
                <w:b w:val="0"/>
              </w:rPr>
              <w:t>24 machines with per-machine ALL rates.</w:t>
            </w:r>
          </w:p>
        </w:tc>
      </w:tr>
      <w:tr>
        <w:tc>
          <w:tcPr>
            <w:tcW w:type="dxa" w:w="3312"/>
            <w:vAlign w:val="center"/>
          </w:tcPr>
          <w:p>
            <w:r/>
            <w:r>
              <w:rPr>
                <w:b w:val="0"/>
              </w:rPr>
              <w:t>Shift fields</w:t>
            </w:r>
          </w:p>
        </w:tc>
        <w:tc>
          <w:tcPr>
            <w:tcW w:type="dxa" w:w="6480"/>
            <w:vAlign w:val="center"/>
          </w:tcPr>
          <w:p>
            <w:r/>
            <w:r>
              <w:rPr>
                <w:b w:val="0"/>
              </w:rPr>
              <w:t>2 shifts/day × 10 hours/shift per machine.</w:t>
            </w:r>
          </w:p>
        </w:tc>
      </w:tr>
      <w:tr>
        <w:tc>
          <w:tcPr>
            <w:tcW w:type="dxa" w:w="3312"/>
            <w:vAlign w:val="center"/>
            <w:shd w:fill="EAF2F8"/>
          </w:tcPr>
          <w:p>
            <w:r/>
            <w:r>
              <w:rPr>
                <w:b w:val="0"/>
              </w:rPr>
              <w:t>Monthly working days</w:t>
            </w:r>
          </w:p>
        </w:tc>
        <w:tc>
          <w:tcPr>
            <w:tcW w:type="dxa" w:w="6480"/>
            <w:vAlign w:val="center"/>
            <w:shd w:fill="EAF2F8"/>
          </w:tcPr>
          <w:p>
            <w:r/>
            <w:r>
              <w:rPr>
                <w:b w:val="0"/>
              </w:rPr>
              <w:t>25 per seeded machine row; weekly hours are distributed using the September calendar fractions.</w:t>
            </w:r>
          </w:p>
        </w:tc>
      </w:tr>
      <w:tr>
        <w:tc>
          <w:tcPr>
            <w:tcW w:type="dxa" w:w="3312"/>
            <w:vAlign w:val="center"/>
          </w:tcPr>
          <w:p>
            <w:r/>
            <w:r>
              <w:rPr>
                <w:b w:val="0"/>
              </w:rPr>
              <w:t>Current September calendar</w:t>
            </w:r>
          </w:p>
        </w:tc>
        <w:tc>
          <w:tcPr>
            <w:tcW w:type="dxa" w:w="6480"/>
            <w:vAlign w:val="center"/>
          </w:tcPr>
          <w:p>
            <w:r/>
            <w:r>
              <w:rPr>
                <w:b w:val="0"/>
              </w:rPr>
              <w:t>W1/W2/W3/W4 = 6/6/6/8 calendar working days before any worked-Sunday additions.</w:t>
            </w:r>
          </w:p>
        </w:tc>
      </w:tr>
    </w:tbl>
    <w:p/>
    <w:p>
      <w:r>
        <w:t>The machine cascade computes hoursAvailable = shiftsPerDay × hoursPerShift × workingDays × weekly calendar fraction, then converts machine rate and BOM weight into piece allocations. The current model therefore already expresses capacity as shifts × hours for Plumbing.</w:t>
      </w:r>
    </w:p>
    <w:p>
      <w:r>
        <w:t>Separate monitoring configuration also carries shiftsPerDay and shiftHours, with PTMT monitoring defaults of 2 and 12. That plant KPI context is not the same as the Plumbing machine-capacity rows, which use 10 hours per shift. PTMT Pass 2 capacity is instead an empirical pieces-per-day capacity selected from p90 history; it has no explicit shift dimension.</w:t>
      </w:r>
    </w:p>
    <w:p>
      <w:pPr>
        <w:pStyle w:val="Heading2"/>
      </w:pPr>
      <w:r>
        <w:t>NS.1.2 — What would need to change</w:t>
      </w:r>
    </w:p>
    <w:p>
      <w:r>
        <w:t>A one-shift/two-shift design is mechanically expressible for Plumbing: retain the current machine rate and calculate one-shift hours with shiftsPerDay = 1 and two-shift hours with shiftsPerDay = 2. However, halving the current two-shift output assumes linearity. The code has no evidence for shift-specific efficiency, breaks, changeover, staffing, or night-shift loss, so the business validity of that halving must come from Prayag/the machine app.</w:t>
      </w:r>
    </w:p>
    <w:p>
      <w:r>
        <w:t>For PTMT, a one-shift figure is not derivable from the current category capacity rows alone. They are pieces-per-day p90 values, not hours-based machine rates. A shift-aware PTMT model would need source hours or a validated one-shift production-rate relationship.</w:t>
      </w:r>
    </w:p>
    <w:p>
      <w:r>
        <w:t>The current cascade carries residual forward week by week. Under today’s fixed two-shift model, extra demand therefore appears first as later-week residual/overflow. It does not make an early night-shift decision.</w:t>
      </w:r>
    </w:p>
    <w:p>
      <w:r>
        <w:t>To implement the stated “early if needed” policy later, the planner would need a look-ahead before allocation:</w:t>
      </w:r>
    </w:p>
    <w:p>
      <w:pPr>
        <w:pStyle w:val="ListBullet"/>
      </w:pPr>
      <w:r>
        <w:t>Compute one-shift capacity per machine/pool for every week.</w:t>
      </w:r>
    </w:p>
    <w:p>
      <w:pPr>
        <w:pStyle w:val="ListBullet"/>
      </w:pPr>
      <w:r>
        <w:t>Reserve dummy first, then orders, then buffer according to the agreed priority model.</w:t>
      </w:r>
    </w:p>
    <w:p>
      <w:pPr>
        <w:pStyle w:val="ListBullet"/>
      </w:pPr>
      <w:r>
        <w:t>Detect whether the remaining demand cannot fit in the one-shift capacity horizon or whether a category/machine will miss its required early release.</w:t>
      </w:r>
    </w:p>
    <w:p>
      <w:pPr>
        <w:pStyle w:val="ListBullet"/>
      </w:pPr>
      <w:r>
        <w:t>If escalation is required, mark the affected scope as two shifts starting in W1, then recalculate forward so later weeks can return to one shift after the backlog clears.</w:t>
      </w:r>
    </w:p>
    <w:p>
      <w:pPr>
        <w:pStyle w:val="ListBullet"/>
      </w:pPr>
      <w:r>
        <w:t>Run a second pass against two-shift capacity and report any residual that still cannot fit.</w:t>
      </w:r>
    </w:p>
    <w:p>
      <w:r>
        <w:t>The natural “fill W1 at one shift, then add night shift only at the final overflow” algorithm would put the extra shift late. That is the opposite of the stated requirement and should not be adopted accidentally.</w:t>
      </w:r>
    </w:p>
    <w:p>
      <w:pPr>
        <w:pStyle w:val="Heading2"/>
      </w:pPr>
      <w:r>
        <w:t>NS.1.3 — Required output for a future design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9"/>
          </w:tcPr>
          <w:p>
            <w:r/>
            <w:r>
              <w:rPr>
                <w:b/>
                <w:color w:val="FFFFFF"/>
              </w:rPr>
              <w:t>Scope</w:t>
            </w:r>
          </w:p>
        </w:tc>
        <w:tc>
          <w:tcPr>
            <w:tcW w:type="dxa" w:w="6912"/>
            <w:vAlign w:val="center"/>
            <w:shd w:fill="1F4E79"/>
          </w:tcPr>
          <w:p>
            <w:r/>
            <w:r>
              <w:rPr>
                <w:b/>
                <w:color w:val="FFFFFF"/>
              </w:rPr>
              <w:t>Per-week fields</w:t>
            </w:r>
          </w:p>
        </w:tc>
      </w:tr>
      <w:tr>
        <w:tc>
          <w:tcPr>
            <w:tcW w:type="dxa" w:w="2880"/>
            <w:vAlign w:val="center"/>
          </w:tcPr>
          <w:p>
            <w:r/>
            <w:r>
              <w:rPr>
                <w:b w:val="0"/>
              </w:rPr>
              <w:t>Category/pool report</w:t>
            </w:r>
          </w:p>
        </w:tc>
        <w:tc>
          <w:tcPr>
            <w:tcW w:type="dxa" w:w="6912"/>
            <w:vAlign w:val="center"/>
          </w:tcPr>
          <w:p>
            <w:r/>
            <w:r>
              <w:rPr>
                <w:b w:val="0"/>
              </w:rPr>
              <w:t>Demand, one-shift capacity, two-shift capacity, shifts required, residual at two shifts.</w:t>
            </w:r>
          </w:p>
        </w:tc>
      </w:tr>
      <w:tr>
        <w:tc>
          <w:tcPr>
            <w:tcW w:type="dxa" w:w="2880"/>
            <w:vAlign w:val="center"/>
            <w:shd w:fill="EAF2F8"/>
          </w:tcPr>
          <w:p>
            <w:r/>
            <w:r>
              <w:rPr>
                <w:b w:val="0"/>
              </w:rPr>
              <w:t>Machine detail</w:t>
            </w:r>
          </w:p>
        </w:tc>
        <w:tc>
          <w:tcPr>
            <w:tcW w:type="dxa" w:w="6912"/>
            <w:vAlign w:val="center"/>
            <w:shd w:fill="EAF2F8"/>
          </w:tcPr>
          <w:p>
            <w:r/>
            <w:r>
              <w:rPr>
                <w:b w:val="0"/>
              </w:rPr>
              <w:t>Machine demand/load, one-shift hours, two-shift hours, assigned shift count, flex-machine contention, and unfulfillable hours/pieces.</w:t>
            </w:r>
          </w:p>
        </w:tc>
      </w:tr>
      <w:tr>
        <w:tc>
          <w:tcPr>
            <w:tcW w:type="dxa" w:w="2880"/>
            <w:vAlign w:val="center"/>
          </w:tcPr>
          <w:p>
            <w:r/>
            <w:r>
              <w:rPr>
                <w:b w:val="0"/>
              </w:rPr>
              <w:t>Plant roll-up</w:t>
            </w:r>
          </w:p>
        </w:tc>
        <w:tc>
          <w:tcPr>
            <w:tcW w:type="dxa" w:w="6912"/>
            <w:vAlign w:val="center"/>
          </w:tcPr>
          <w:p>
            <w:r/>
            <w:r>
              <w:rPr>
                <w:b w:val="0"/>
              </w:rPr>
              <w:t>Night-shift categories/machines, number of weeks escalated, and total demand still short at two shifts.</w:t>
            </w:r>
          </w:p>
        </w:tc>
      </w:tr>
    </w:tbl>
    <w:p/>
    <w:p>
      <w:r>
        <w:t>The last field is essential: two shifts must not hide a genuine shortfall. A category or machine that still cannot fit at two shifts must remain visibly short.</w:t>
      </w:r>
    </w:p>
    <w:p>
      <w:pPr>
        <w:pStyle w:val="Heading2"/>
      </w:pPr>
      <w:r>
        <w:t>NS.1.4 — Current read-only capacity values</w:t>
      </w:r>
    </w:p>
    <w:p>
      <w:r>
        <w:t>The current GET /api/capacity/machines?segment=Plumbing&amp;month=2026-09 response ran the existing cascade in memory from current live inputs; it did not create a plan. The response showed two-shift capacity already in use:</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
              <w:rPr>
                <w:b/>
                <w:color w:val="FFFFFF"/>
              </w:rPr>
              <w:t>Week</w:t>
            </w:r>
          </w:p>
        </w:tc>
        <w:tc>
          <w:tcPr>
            <w:tcW w:type="dxa" w:w="2880"/>
            <w:vAlign w:val="center"/>
            <w:shd w:fill="1F4E79"/>
          </w:tcPr>
          <w:p>
            <w:r/>
            <w:r>
              <w:rPr>
                <w:b/>
                <w:color w:val="FFFFFF"/>
              </w:rPr>
              <w:t>Hours available</w:t>
            </w:r>
          </w:p>
        </w:tc>
        <w:tc>
          <w:tcPr>
            <w:tcW w:type="dxa" w:w="2880"/>
            <w:vAlign w:val="center"/>
            <w:shd w:fill="1F4E79"/>
          </w:tcPr>
          <w:p>
            <w:r/>
            <w:r>
              <w:rPr>
                <w:b/>
                <w:color w:val="FFFFFF"/>
              </w:rPr>
              <w:t>Hours used</w:t>
            </w:r>
          </w:p>
        </w:tc>
      </w:tr>
      <w:tr>
        <w:tc>
          <w:tcPr>
            <w:tcW w:type="dxa" w:w="2880"/>
            <w:vAlign w:val="center"/>
          </w:tcPr>
          <w:p>
            <w:r/>
            <w:r>
              <w:rPr>
                <w:b w:val="0"/>
              </w:rPr>
              <w:t>W1</w:t>
            </w:r>
          </w:p>
        </w:tc>
        <w:tc>
          <w:tcPr>
            <w:tcW w:type="dxa" w:w="2880"/>
            <w:vAlign w:val="center"/>
          </w:tcPr>
          <w:p>
            <w:r/>
            <w:r>
              <w:rPr>
                <w:b w:val="0"/>
              </w:rPr>
              <w:t>3,577.4</w:t>
            </w:r>
          </w:p>
        </w:tc>
        <w:tc>
          <w:tcPr>
            <w:tcW w:type="dxa" w:w="2880"/>
            <w:vAlign w:val="center"/>
          </w:tcPr>
          <w:p>
            <w:r/>
            <w:r>
              <w:rPr>
                <w:b w:val="0"/>
              </w:rPr>
              <w:t>3,555.9</w:t>
            </w:r>
          </w:p>
        </w:tc>
      </w:tr>
      <w:tr>
        <w:tc>
          <w:tcPr>
            <w:tcW w:type="dxa" w:w="2880"/>
            <w:vAlign w:val="center"/>
            <w:shd w:fill="EAF2F8"/>
          </w:tcPr>
          <w:p>
            <w:r/>
            <w:r>
              <w:rPr>
                <w:b w:val="0"/>
              </w:rPr>
              <w:t>W2</w:t>
            </w:r>
          </w:p>
        </w:tc>
        <w:tc>
          <w:tcPr>
            <w:tcW w:type="dxa" w:w="2880"/>
            <w:vAlign w:val="center"/>
            <w:shd w:fill="EAF2F8"/>
          </w:tcPr>
          <w:p>
            <w:r/>
            <w:r>
              <w:rPr>
                <w:b w:val="0"/>
              </w:rPr>
              <w:t>3,577.4</w:t>
            </w:r>
          </w:p>
        </w:tc>
        <w:tc>
          <w:tcPr>
            <w:tcW w:type="dxa" w:w="2880"/>
            <w:vAlign w:val="center"/>
            <w:shd w:fill="EAF2F8"/>
          </w:tcPr>
          <w:p>
            <w:r/>
            <w:r>
              <w:rPr>
                <w:b w:val="0"/>
              </w:rPr>
              <w:t>3,232.9</w:t>
            </w:r>
          </w:p>
        </w:tc>
      </w:tr>
      <w:tr>
        <w:tc>
          <w:tcPr>
            <w:tcW w:type="dxa" w:w="2880"/>
            <w:vAlign w:val="center"/>
          </w:tcPr>
          <w:p>
            <w:r/>
            <w:r>
              <w:rPr>
                <w:b w:val="0"/>
              </w:rPr>
              <w:t>W3</w:t>
            </w:r>
          </w:p>
        </w:tc>
        <w:tc>
          <w:tcPr>
            <w:tcW w:type="dxa" w:w="2880"/>
            <w:vAlign w:val="center"/>
          </w:tcPr>
          <w:p>
            <w:r/>
            <w:r>
              <w:rPr>
                <w:b w:val="0"/>
              </w:rPr>
              <w:t>3,577.4</w:t>
            </w:r>
          </w:p>
        </w:tc>
        <w:tc>
          <w:tcPr>
            <w:tcW w:type="dxa" w:w="2880"/>
            <w:vAlign w:val="center"/>
          </w:tcPr>
          <w:p>
            <w:r/>
            <w:r>
              <w:rPr>
                <w:b w:val="0"/>
              </w:rPr>
              <w:t>2,836.1</w:t>
            </w:r>
          </w:p>
        </w:tc>
      </w:tr>
      <w:tr>
        <w:tc>
          <w:tcPr>
            <w:tcW w:type="dxa" w:w="2880"/>
            <w:vAlign w:val="center"/>
            <w:shd w:fill="EAF2F8"/>
          </w:tcPr>
          <w:p>
            <w:r/>
            <w:r>
              <w:rPr>
                <w:b w:val="0"/>
              </w:rPr>
              <w:t>W4</w:t>
            </w:r>
          </w:p>
        </w:tc>
        <w:tc>
          <w:tcPr>
            <w:tcW w:type="dxa" w:w="2880"/>
            <w:vAlign w:val="center"/>
            <w:shd w:fill="EAF2F8"/>
          </w:tcPr>
          <w:p>
            <w:r/>
            <w:r>
              <w:rPr>
                <w:b w:val="0"/>
              </w:rPr>
              <w:t>4,767.8</w:t>
            </w:r>
          </w:p>
        </w:tc>
        <w:tc>
          <w:tcPr>
            <w:tcW w:type="dxa" w:w="2880"/>
            <w:vAlign w:val="center"/>
            <w:shd w:fill="EAF2F8"/>
          </w:tcPr>
          <w:p>
            <w:r/>
            <w:r>
              <w:rPr>
                <w:b w:val="0"/>
              </w:rPr>
              <w:t>3,739.1</w:t>
            </w:r>
          </w:p>
        </w:tc>
      </w:tr>
      <w:tr>
        <w:tc>
          <w:tcPr>
            <w:tcW w:type="dxa" w:w="2880"/>
            <w:vAlign w:val="center"/>
          </w:tcPr>
          <w:p>
            <w:r/>
            <w:r>
              <w:rPr>
                <w:b w:val="0"/>
              </w:rPr>
              <w:t>Month</w:t>
            </w:r>
          </w:p>
        </w:tc>
        <w:tc>
          <w:tcPr>
            <w:tcW w:type="dxa" w:w="2880"/>
            <w:vAlign w:val="center"/>
          </w:tcPr>
          <w:p>
            <w:r/>
            <w:r>
              <w:rPr>
                <w:b w:val="0"/>
              </w:rPr>
              <w:t>15,500.0</w:t>
            </w:r>
          </w:p>
        </w:tc>
        <w:tc>
          <w:tcPr>
            <w:tcW w:type="dxa" w:w="2880"/>
            <w:vAlign w:val="center"/>
          </w:tcPr>
          <w:p>
            <w:r/>
            <w:r>
              <w:rPr>
                <w:b w:val="0"/>
              </w:rPr>
              <w:t>13,364.0</w:t>
            </w:r>
          </w:p>
        </w:tc>
      </w:tr>
    </w:tbl>
    <w:p/>
    <w:p>
      <w:r>
        <w:t>These are two-shift model values and are not a one-shift requirement calculation. They also come from a transient live cascade, not a finalized September Production Plan.</w:t>
      </w:r>
    </w:p>
    <w:p>
      <w:pPr>
        <w:pStyle w:val="Heading1"/>
      </w:pPr>
      <w:r>
        <w:t>NS.2 — Sequencing decisions for Nishant</w:t>
      </w:r>
    </w:p>
    <w:p>
      <w:r>
        <w:t>The supplied wording supports the following interpretation, but it should be confirmed as a business rule before implementation:</w:t>
      </w:r>
    </w:p>
    <w:p>
      <w:pPr>
        <w:pStyle w:val="ListBullet"/>
      </w:pPr>
      <w:r>
        <w:t>If dummy fits within one shift and the rest of the demand also fits, no night shift is needed.</w:t>
      </w:r>
    </w:p>
    <w:p>
      <w:pPr>
        <w:pStyle w:val="ListBullet"/>
      </w:pPr>
      <w:r>
        <w:t>If dummy alone needs two shifts, the night shift starts in W1.</w:t>
      </w:r>
    </w:p>
    <w:p>
      <w:pPr>
        <w:pStyle w:val="ListBullet"/>
      </w:pPr>
      <w:r>
        <w:t>If buffer demand first exceeds one-shift capacity in W3, “schedule it from Week 1 so the backlog clears early” implies starting the night shift in W1, not W3. This is a deliberate early-escalation policy, not the current cascade behavior.</w:t>
      </w:r>
    </w:p>
    <w:p>
      <w:r>
        <w:t>The operational scope is also unresolved. A plant-wide night shift is simple but can overstaff for one overflowing category. A category-level flag is useful for planning but may not map to shared flex machines. A machine-level decision is physically precise, especially for PIPE and MOULDING, and can then roll up to category and plant. The shared-machine constraint means the eventual decision probably needs machine/pool-level calculation plus a category-facing report.</w:t>
      </w:r>
    </w:p>
    <w:p>
      <w:pPr>
        <w:pStyle w:val="Heading1"/>
      </w:pPr>
      <w:r>
        <w:t>Current status and restrictions observed</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1F4E79"/>
          </w:tcPr>
          <w:p>
            <w:r/>
            <w:r>
              <w:rPr>
                <w:b/>
                <w:color w:val="FFFFFF"/>
              </w:rPr>
              <w:t>Item</w:t>
            </w:r>
          </w:p>
        </w:tc>
        <w:tc>
          <w:tcPr>
            <w:tcW w:type="dxa" w:w="5184"/>
            <w:vAlign w:val="center"/>
            <w:shd w:fill="1F4E79"/>
          </w:tcPr>
          <w:p>
            <w:r/>
            <w:r>
              <w:rPr>
                <w:b/>
                <w:color w:val="FFFFFF"/>
              </w:rPr>
              <w:t>Status</w:t>
            </w:r>
          </w:p>
        </w:tc>
      </w:tr>
      <w:tr>
        <w:tc>
          <w:tcPr>
            <w:tcW w:type="dxa" w:w="4608"/>
            <w:vAlign w:val="center"/>
          </w:tcPr>
          <w:p>
            <w:r/>
            <w:r>
              <w:rPr>
                <w:b w:val="0"/>
              </w:rPr>
              <w:t>Code inspection</w:t>
            </w:r>
          </w:p>
        </w:tc>
        <w:tc>
          <w:tcPr>
            <w:tcW w:type="dxa" w:w="5184"/>
            <w:vAlign w:val="center"/>
          </w:tcPr>
          <w:p>
            <w:r/>
            <w:r>
              <w:rPr>
                <w:b w:val="0"/>
              </w:rPr>
              <w:t>Completed read-only</w:t>
            </w:r>
          </w:p>
        </w:tc>
      </w:tr>
      <w:tr>
        <w:tc>
          <w:tcPr>
            <w:tcW w:type="dxa" w:w="4608"/>
            <w:vAlign w:val="center"/>
            <w:shd w:fill="EAF2F8"/>
          </w:tcPr>
          <w:p>
            <w:r/>
            <w:r>
              <w:rPr>
                <w:b w:val="0"/>
              </w:rPr>
              <w:t>PTMT dummy priority</w:t>
            </w:r>
          </w:p>
        </w:tc>
        <w:tc>
          <w:tcPr>
            <w:tcW w:type="dxa" w:w="5184"/>
            <w:vAlign w:val="center"/>
            <w:shd w:fill="EAF2F8"/>
          </w:tcPr>
          <w:p>
            <w:r/>
            <w:r>
              <w:rPr>
                <w:b w:val="0"/>
              </w:rPr>
              <w:t>Confirmed in runPtmtPass2</w:t>
            </w:r>
          </w:p>
        </w:tc>
      </w:tr>
      <w:tr>
        <w:tc>
          <w:tcPr>
            <w:tcW w:type="dxa" w:w="4608"/>
            <w:vAlign w:val="center"/>
          </w:tcPr>
          <w:p>
            <w:r/>
            <w:r>
              <w:rPr>
                <w:b w:val="0"/>
              </w:rPr>
              <w:t>Plumbing dummy priority</w:t>
            </w:r>
          </w:p>
        </w:tc>
        <w:tc>
          <w:tcPr>
            <w:tcW w:type="dxa" w:w="5184"/>
            <w:vAlign w:val="center"/>
          </w:tcPr>
          <w:p>
            <w:r/>
            <w:r>
              <w:rPr>
                <w:b w:val="0"/>
              </w:rPr>
              <w:t>No explicit priority found</w:t>
            </w:r>
          </w:p>
        </w:tc>
      </w:tr>
      <w:tr>
        <w:tc>
          <w:tcPr>
            <w:tcW w:type="dxa" w:w="4608"/>
            <w:vAlign w:val="center"/>
            <w:shd w:fill="EAF2F8"/>
          </w:tcPr>
          <w:p>
            <w:r/>
            <w:r>
              <w:rPr>
                <w:b w:val="0"/>
              </w:rPr>
              <w:t>September dummy estimate</w:t>
            </w:r>
          </w:p>
        </w:tc>
        <w:tc>
          <w:tcPr>
            <w:tcW w:type="dxa" w:w="5184"/>
            <w:vAlign w:val="center"/>
            <w:shd w:fill="EAF2F8"/>
          </w:tcPr>
          <w:p>
            <w:r/>
            <w:r>
              <w:rPr>
                <w:b w:val="0"/>
              </w:rPr>
              <w:t>Computed in memory only; no plan persisted</w:t>
            </w:r>
          </w:p>
        </w:tc>
      </w:tr>
      <w:tr>
        <w:tc>
          <w:tcPr>
            <w:tcW w:type="dxa" w:w="4608"/>
            <w:vAlign w:val="center"/>
          </w:tcPr>
          <w:p>
            <w:r/>
            <w:r>
              <w:rPr>
                <w:b w:val="0"/>
              </w:rPr>
              <w:t>Night-shift design</w:t>
            </w:r>
          </w:p>
        </w:tc>
        <w:tc>
          <w:tcPr>
            <w:tcW w:type="dxa" w:w="5184"/>
            <w:vAlign w:val="center"/>
          </w:tcPr>
          <w:p>
            <w:r/>
            <w:r>
              <w:rPr>
                <w:b w:val="0"/>
              </w:rPr>
              <w:t>Described only; not built</w:t>
            </w:r>
          </w:p>
        </w:tc>
      </w:tr>
      <w:tr>
        <w:tc>
          <w:tcPr>
            <w:tcW w:type="dxa" w:w="4608"/>
            <w:vAlign w:val="center"/>
            <w:shd w:fill="EAF2F8"/>
          </w:tcPr>
          <w:p>
            <w:r/>
            <w:r>
              <w:rPr>
                <w:b w:val="0"/>
              </w:rPr>
              <w:t>Capacity fit/finalization/publication/deployment</w:t>
            </w:r>
          </w:p>
        </w:tc>
        <w:tc>
          <w:tcPr>
            <w:tcW w:type="dxa" w:w="5184"/>
            <w:vAlign w:val="center"/>
            <w:shd w:fill="EAF2F8"/>
          </w:tcPr>
          <w:p>
            <w:r/>
            <w:r>
              <w:rPr>
                <w:b w:val="0"/>
              </w:rPr>
              <w:t>Not performed</w:t>
            </w:r>
          </w:p>
        </w:tc>
      </w:tr>
      <w:tr>
        <w:tc>
          <w:tcPr>
            <w:tcW w:type="dxa" w:w="4608"/>
            <w:vAlign w:val="center"/>
          </w:tcPr>
          <w:p>
            <w:r/>
            <w:r>
              <w:rPr>
                <w:b w:val="0"/>
              </w:rPr>
              <w:t>Protected runs #28, #30, #32</w:t>
            </w:r>
          </w:p>
        </w:tc>
        <w:tc>
          <w:tcPr>
            <w:tcW w:type="dxa" w:w="5184"/>
            <w:vAlign w:val="center"/>
          </w:tcPr>
          <w:p>
            <w:r/>
            <w:r>
              <w:rPr>
                <w:b w:val="0"/>
              </w:rPr>
              <w:t>Untouched</w:t>
            </w:r>
          </w:p>
        </w:tc>
      </w:tr>
    </w:tbl>
    <w:p/>
    <w:p>
      <w:pPr>
        <w:spacing w:before="240"/>
      </w:pPr>
      <w:r>
        <w:rPr>
          <w:b/>
        </w:rPr>
        <w:t xml:space="preserve">Source note: </w:t>
      </w:r>
      <w:r>
        <w:t>This report uses the attached NS query, the current source code, the read-only draft #2574 rows, the current weekly-band rows, and the read-only machine-capacity response. It intentionally does not turn either design question into a code change.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Prayag India · Dummy-first and Night-shift Read-only Investigation · 9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