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9C0006"/>
          <w:sz w:val="20"/>
        </w:rPr>
        <w:t>SUPERSEDED — 9 September 2026: This historical reconciliation contains earlier 49,333.58 / 63 figures. Use the corrected in-memory September results in the current project record: net recovered 68,817.68; achievable 1,522,640.95; unfeasible 132,368.97.</w:t>
      </w:r>
    </w:p>
    <w:p>
      <w:pPr>
        <w:jc w:val="center"/>
      </w:pPr>
      <w:r>
        <w:rPr>
          <w:b/>
          <w:color w:val="17365D"/>
          <w:sz w:val="40"/>
        </w:rPr>
        <w:t>Plumbing Frozen Cascade Reconciliation</w:t>
      </w:r>
    </w:p>
    <w:p>
      <w:pPr>
        <w:jc w:val="center"/>
      </w:pPr>
      <w:r>
        <w:rPr>
          <w:i/>
          <w:sz w:val="22"/>
        </w:rPr>
        <w:t>FR.1 / FR.2 / FR.3 — read-only findings</w:t>
      </w:r>
    </w:p>
    <w:p>
      <w:pPr>
        <w:jc w:val="center"/>
      </w:pPr>
      <w:r>
        <w:rPr>
          <w:sz w:val="18"/>
        </w:rPr>
        <w:t>September 2026 · 9 September 2026</w:t>
      </w:r>
    </w:p>
    <w:p>
      <w:r>
        <w:rPr>
          <w:b/>
        </w:rPr>
        <w:t xml:space="preserve">Scope. </w:t>
      </w:r>
      <w:r>
        <w:t>This report compares the old and new Plumbing machine-cascade orderings against frozen Temporary Plan #2574 rows. No plan was created, rerun, capacity-fitted, finalized, published, or deployed. Runs #28, #30, and #32 were not touched.</w:t>
      </w:r>
    </w:p>
    <w:p>
      <w:pPr>
        <w:pStyle w:val="Heading1"/>
        <w:keepNext/>
      </w:pPr>
      <w:r>
        <w:t>Executive result</w:t>
      </w:r>
    </w:p>
    <w:tbl>
      <w:tblPr>
        <w:tblStyle w:val="TableGrid"/>
        <w:tblW w:type="auto" w:w="0"/>
        <w:jc w:val="center"/>
        <w:tblLook w:firstColumn="1" w:firstRow="1" w:lastColumn="0" w:lastRow="0" w:noHBand="0" w:noVBand="1" w:val="04A0"/>
      </w:tblPr>
      <w:tblGrid>
        <w:gridCol w:w="3408"/>
        <w:gridCol w:w="3408"/>
        <w:gridCol w:w="3408"/>
      </w:tblGrid>
      <w:tr>
        <w:tc>
          <w:tcPr>
            <w:tcW w:type="dxa" w:w="3888"/>
            <w:vAlign w:val="center"/>
            <w:shd w:fill="17365D"/>
          </w:tcPr>
          <w:p>
            <w:pPr>
              <w:spacing w:after="0"/>
            </w:pPr>
            <w:r/>
            <w:r>
              <w:rPr>
                <w:b/>
                <w:color w:val="FFFFFF"/>
                <w:sz w:val="17"/>
              </w:rPr>
              <w:t>Ordering</w:t>
            </w:r>
          </w:p>
        </w:tc>
        <w:tc>
          <w:tcPr>
            <w:tcW w:type="dxa" w:w="1872"/>
            <w:vAlign w:val="center"/>
            <w:shd w:fill="17365D"/>
          </w:tcPr>
          <w:p>
            <w:pPr>
              <w:spacing w:after="0"/>
            </w:pPr>
            <w:r/>
            <w:r>
              <w:rPr>
                <w:b/>
                <w:color w:val="FFFFFF"/>
                <w:sz w:val="17"/>
              </w:rPr>
              <w:t>Residual rows</w:t>
            </w:r>
          </w:p>
        </w:tc>
        <w:tc>
          <w:tcPr>
            <w:tcW w:type="dxa" w:w="2880"/>
            <w:vAlign w:val="center"/>
            <w:shd w:fill="17365D"/>
          </w:tcPr>
          <w:p>
            <w:pPr>
              <w:spacing w:after="0"/>
            </w:pPr>
            <w:r/>
            <w:r>
              <w:rPr>
                <w:b/>
                <w:color w:val="FFFFFF"/>
                <w:sz w:val="17"/>
              </w:rPr>
              <w:t>Unfulfillable pieces</w:t>
            </w:r>
          </w:p>
        </w:tc>
      </w:tr>
      <w:tr>
        <w:tc>
          <w:tcPr>
            <w:tcW w:type="dxa" w:w="3888"/>
            <w:vAlign w:val="center"/>
          </w:tcPr>
          <w:p>
            <w:pPr>
              <w:spacing w:after="0"/>
            </w:pPr>
            <w:r/>
            <w:r>
              <w:rPr>
                <w:b w:val="0"/>
                <w:sz w:val="17"/>
              </w:rPr>
              <w:t>Old — cover ascending</w:t>
            </w:r>
          </w:p>
        </w:tc>
        <w:tc>
          <w:tcPr>
            <w:tcW w:type="dxa" w:w="1872"/>
            <w:vAlign w:val="center"/>
          </w:tcPr>
          <w:p>
            <w:pPr>
              <w:spacing w:after="0"/>
            </w:pPr>
            <w:r/>
            <w:r>
              <w:rPr>
                <w:b w:val="0"/>
                <w:sz w:val="17"/>
              </w:rPr>
              <w:t>89</w:t>
            </w:r>
          </w:p>
        </w:tc>
        <w:tc>
          <w:tcPr>
            <w:tcW w:type="dxa" w:w="2880"/>
            <w:vAlign w:val="center"/>
          </w:tcPr>
          <w:p>
            <w:pPr>
              <w:spacing w:after="0"/>
            </w:pPr>
            <w:r/>
            <w:r>
              <w:rPr>
                <w:b w:val="0"/>
                <w:sz w:val="17"/>
              </w:rPr>
              <w:t>104,270.07</w:t>
            </w:r>
          </w:p>
        </w:tc>
      </w:tr>
      <w:tr>
        <w:tc>
          <w:tcPr>
            <w:tcW w:type="dxa" w:w="3888"/>
            <w:vAlign w:val="center"/>
          </w:tcPr>
          <w:p>
            <w:pPr>
              <w:spacing w:after="0"/>
            </w:pPr>
            <w:r/>
            <w:r>
              <w:rPr>
                <w:b w:val="0"/>
                <w:sz w:val="17"/>
              </w:rPr>
              <w:t>New — dummy → orders → buffer by cover</w:t>
            </w:r>
          </w:p>
        </w:tc>
        <w:tc>
          <w:tcPr>
            <w:tcW w:type="dxa" w:w="1872"/>
            <w:vAlign w:val="center"/>
          </w:tcPr>
          <w:p>
            <w:pPr>
              <w:spacing w:after="0"/>
            </w:pPr>
            <w:r/>
            <w:r>
              <w:rPr>
                <w:b w:val="0"/>
                <w:sz w:val="17"/>
              </w:rPr>
              <w:t>82</w:t>
            </w:r>
          </w:p>
        </w:tc>
        <w:tc>
          <w:tcPr>
            <w:tcW w:type="dxa" w:w="2880"/>
            <w:vAlign w:val="center"/>
          </w:tcPr>
          <w:p>
            <w:pPr>
              <w:spacing w:after="0"/>
            </w:pPr>
            <w:r/>
            <w:r>
              <w:rPr>
                <w:b w:val="0"/>
                <w:sz w:val="17"/>
              </w:rPr>
              <w:t>49,333.58</w:t>
            </w:r>
          </w:p>
        </w:tc>
      </w:tr>
      <w:tr>
        <w:tc>
          <w:tcPr>
            <w:tcW w:type="dxa" w:w="3888"/>
            <w:vAlign w:val="center"/>
          </w:tcPr>
          <w:p>
            <w:pPr>
              <w:spacing w:after="0"/>
            </w:pPr>
            <w:r/>
            <w:r>
              <w:rPr>
                <w:b w:val="0"/>
                <w:sz w:val="17"/>
              </w:rPr>
              <w:t>Movement</w:t>
            </w:r>
          </w:p>
        </w:tc>
        <w:tc>
          <w:tcPr>
            <w:tcW w:type="dxa" w:w="1872"/>
            <w:vAlign w:val="center"/>
          </w:tcPr>
          <w:p>
            <w:pPr>
              <w:spacing w:after="0"/>
            </w:pPr>
            <w:r/>
            <w:r>
              <w:rPr>
                <w:b w:val="0"/>
                <w:sz w:val="17"/>
              </w:rPr>
              <w:t>−7</w:t>
            </w:r>
          </w:p>
        </w:tc>
        <w:tc>
          <w:tcPr>
            <w:tcW w:type="dxa" w:w="2880"/>
            <w:vAlign w:val="center"/>
          </w:tcPr>
          <w:p>
            <w:pPr>
              <w:spacing w:after="0"/>
            </w:pPr>
            <w:r/>
            <w:r>
              <w:rPr>
                <w:b w:val="0"/>
                <w:sz w:val="17"/>
              </w:rPr>
              <w:t>−54,936.49</w:t>
            </w:r>
          </w:p>
        </w:tc>
      </w:tr>
    </w:tbl>
    <w:p>
      <w:pPr>
        <w:spacing w:after="0"/>
      </w:pPr>
    </w:p>
    <w:p>
      <w:pPr>
        <w:pStyle w:val="ListBullet"/>
      </w:pPr>
      <w:r>
        <w:t>The 104k → 49k reduction reproduces on the same frozen #2574 inputs; it is not solely a live-source timing effect.</w:t>
      </w:r>
    </w:p>
    <w:p>
      <w:pPr>
        <w:pStyle w:val="ListBullet"/>
      </w:pPr>
      <w:r>
        <w:t>All newly unfulfillable quantities are buffer quantities. No dummy or current-order quantity was displaced into the residual set.</w:t>
      </w:r>
    </w:p>
    <w:p>
      <w:pPr>
        <w:pStyle w:val="ListBullet"/>
      </w:pPr>
      <w:r>
        <w:t>The earlier live values of 104,266 and 49,324 were close but not identical because those endpoint reads used live data rather than the exact persisted #2574 rows.</w:t>
      </w:r>
    </w:p>
    <w:p>
      <w:pPr>
        <w:pStyle w:val="Heading1"/>
        <w:keepNext/>
      </w:pPr>
      <w:r>
        <w:t>FR.1 — Frozen ordering comparison</w:t>
      </w:r>
    </w:p>
    <w:p>
      <w:pPr>
        <w:pStyle w:val="Heading2"/>
        <w:keepNext/>
      </w:pPr>
      <w:r>
        <w:t>Newly fulfilled under dummy-first</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7365D"/>
          </w:tcPr>
          <w:p>
            <w:pPr>
              <w:spacing w:after="0"/>
            </w:pPr>
            <w:r/>
            <w:r>
              <w:rPr>
                <w:b/>
                <w:color w:val="FFFFFF"/>
                <w:sz w:val="17"/>
              </w:rPr>
              <w:t>Code</w:t>
            </w:r>
          </w:p>
        </w:tc>
        <w:tc>
          <w:tcPr>
            <w:tcW w:type="dxa" w:w="3456"/>
            <w:vAlign w:val="center"/>
            <w:shd w:fill="17365D"/>
          </w:tcPr>
          <w:p>
            <w:pPr>
              <w:spacing w:after="0"/>
            </w:pPr>
            <w:r/>
            <w:r>
              <w:rPr>
                <w:b/>
                <w:color w:val="FFFFFF"/>
                <w:sz w:val="17"/>
              </w:rPr>
              <w:t>Category</w:t>
            </w:r>
          </w:p>
        </w:tc>
        <w:tc>
          <w:tcPr>
            <w:tcW w:type="dxa" w:w="1872"/>
            <w:vAlign w:val="center"/>
            <w:shd w:fill="17365D"/>
          </w:tcPr>
          <w:p>
            <w:pPr>
              <w:spacing w:after="0"/>
            </w:pPr>
            <w:r/>
            <w:r>
              <w:rPr>
                <w:b/>
                <w:color w:val="FFFFFF"/>
                <w:sz w:val="17"/>
              </w:rPr>
              <w:t>Pieces</w:t>
            </w:r>
          </w:p>
        </w:tc>
      </w:tr>
      <w:tr>
        <w:tc>
          <w:tcPr>
            <w:tcW w:type="dxa" w:w="2016"/>
            <w:vAlign w:val="center"/>
          </w:tcPr>
          <w:p>
            <w:pPr>
              <w:spacing w:after="0"/>
            </w:pPr>
            <w:r/>
            <w:r>
              <w:rPr>
                <w:b w:val="0"/>
                <w:sz w:val="17"/>
              </w:rPr>
              <w:t>C42</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14,721.76</w:t>
            </w:r>
          </w:p>
        </w:tc>
      </w:tr>
      <w:tr>
        <w:tc>
          <w:tcPr>
            <w:tcW w:type="dxa" w:w="2016"/>
            <w:vAlign w:val="center"/>
          </w:tcPr>
          <w:p>
            <w:pPr>
              <w:spacing w:after="0"/>
            </w:pPr>
            <w:r/>
            <w:r>
              <w:rPr>
                <w:b w:val="0"/>
                <w:sz w:val="17"/>
              </w:rPr>
              <w:t>C63</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13,253.04</w:t>
            </w:r>
          </w:p>
        </w:tc>
      </w:tr>
      <w:tr>
        <w:tc>
          <w:tcPr>
            <w:tcW w:type="dxa" w:w="2016"/>
            <w:vAlign w:val="center"/>
          </w:tcPr>
          <w:p>
            <w:pPr>
              <w:spacing w:after="0"/>
            </w:pPr>
            <w:r/>
            <w:r>
              <w:rPr>
                <w:b w:val="0"/>
                <w:sz w:val="17"/>
              </w:rPr>
              <w:t>C502</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6,739.72</w:t>
            </w:r>
          </w:p>
        </w:tc>
      </w:tr>
      <w:tr>
        <w:tc>
          <w:tcPr>
            <w:tcW w:type="dxa" w:w="2016"/>
            <w:vAlign w:val="center"/>
          </w:tcPr>
          <w:p>
            <w:pPr>
              <w:spacing w:after="0"/>
            </w:pPr>
            <w:r/>
            <w:r>
              <w:rPr>
                <w:b w:val="0"/>
                <w:sz w:val="17"/>
              </w:rPr>
              <w:t>C503</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6,596.92</w:t>
            </w:r>
          </w:p>
        </w:tc>
      </w:tr>
      <w:tr>
        <w:tc>
          <w:tcPr>
            <w:tcW w:type="dxa" w:w="2016"/>
            <w:vAlign w:val="center"/>
          </w:tcPr>
          <w:p>
            <w:pPr>
              <w:spacing w:after="0"/>
            </w:pPr>
            <w:r/>
            <w:r>
              <w:rPr>
                <w:b w:val="0"/>
                <w:sz w:val="17"/>
              </w:rPr>
              <w:t>C62</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4,807.52</w:t>
            </w:r>
          </w:p>
        </w:tc>
      </w:tr>
      <w:tr>
        <w:tc>
          <w:tcPr>
            <w:tcW w:type="dxa" w:w="2016"/>
            <w:vAlign w:val="center"/>
          </w:tcPr>
          <w:p>
            <w:pPr>
              <w:spacing w:after="0"/>
            </w:pPr>
            <w:r/>
            <w:r>
              <w:rPr>
                <w:b w:val="0"/>
                <w:sz w:val="17"/>
              </w:rPr>
              <w:t>C71</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3,409.00</w:t>
            </w:r>
          </w:p>
        </w:tc>
      </w:tr>
      <w:tr>
        <w:tc>
          <w:tcPr>
            <w:tcW w:type="dxa" w:w="2016"/>
            <w:vAlign w:val="center"/>
          </w:tcPr>
          <w:p>
            <w:pPr>
              <w:spacing w:after="0"/>
            </w:pPr>
            <w:r/>
            <w:r>
              <w:rPr>
                <w:b w:val="0"/>
                <w:sz w:val="17"/>
              </w:rPr>
              <w:t>C323</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3,374.04</w:t>
            </w:r>
          </w:p>
        </w:tc>
      </w:tr>
      <w:tr>
        <w:tc>
          <w:tcPr>
            <w:tcW w:type="dxa" w:w="2016"/>
            <w:vAlign w:val="center"/>
          </w:tcPr>
          <w:p>
            <w:pPr>
              <w:spacing w:after="0"/>
            </w:pPr>
            <w:r/>
            <w:r>
              <w:rPr>
                <w:b w:val="0"/>
                <w:sz w:val="17"/>
              </w:rPr>
              <w:t>C12</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2,815.88</w:t>
            </w:r>
          </w:p>
        </w:tc>
      </w:tr>
      <w:tr>
        <w:tc>
          <w:tcPr>
            <w:tcW w:type="dxa" w:w="2016"/>
            <w:vAlign w:val="center"/>
          </w:tcPr>
          <w:p>
            <w:pPr>
              <w:spacing w:after="0"/>
            </w:pPr>
            <w:r/>
            <w:r>
              <w:rPr>
                <w:b w:val="0"/>
                <w:sz w:val="17"/>
              </w:rPr>
              <w:t>U231</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2,299.59</w:t>
            </w:r>
          </w:p>
        </w:tc>
      </w:tr>
      <w:tr>
        <w:tc>
          <w:tcPr>
            <w:tcW w:type="dxa" w:w="2016"/>
            <w:vAlign w:val="center"/>
          </w:tcPr>
          <w:p>
            <w:pPr>
              <w:spacing w:after="0"/>
            </w:pPr>
            <w:r/>
            <w:r>
              <w:rPr>
                <w:b w:val="0"/>
                <w:sz w:val="17"/>
              </w:rPr>
              <w:t>5110S</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2,032.49</w:t>
            </w:r>
          </w:p>
        </w:tc>
      </w:tr>
      <w:tr>
        <w:tc>
          <w:tcPr>
            <w:tcW w:type="dxa" w:w="2016"/>
            <w:vAlign w:val="center"/>
          </w:tcPr>
          <w:p>
            <w:pPr>
              <w:spacing w:after="0"/>
            </w:pPr>
            <w:r/>
            <w:r>
              <w:rPr>
                <w:b w:val="0"/>
                <w:sz w:val="17"/>
              </w:rPr>
              <w:t>C703N</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1,928.00</w:t>
            </w:r>
          </w:p>
        </w:tc>
      </w:tr>
      <w:tr>
        <w:tc>
          <w:tcPr>
            <w:tcW w:type="dxa" w:w="2016"/>
            <w:vAlign w:val="center"/>
          </w:tcPr>
          <w:p>
            <w:pPr>
              <w:spacing w:after="0"/>
            </w:pPr>
            <w:r/>
            <w:r>
              <w:rPr>
                <w:b w:val="0"/>
                <w:sz w:val="17"/>
              </w:rPr>
              <w:t>U232</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1,782.50</w:t>
            </w:r>
          </w:p>
        </w:tc>
      </w:tr>
      <w:tr>
        <w:tc>
          <w:tcPr>
            <w:tcW w:type="dxa" w:w="2016"/>
            <w:vAlign w:val="center"/>
          </w:tcPr>
          <w:p>
            <w:pPr>
              <w:spacing w:after="0"/>
            </w:pPr>
            <w:r/>
            <w:r>
              <w:rPr>
                <w:b w:val="0"/>
                <w:sz w:val="17"/>
              </w:rPr>
              <w:t>C22L</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1,526.20</w:t>
            </w:r>
          </w:p>
        </w:tc>
      </w:tr>
      <w:tr>
        <w:tc>
          <w:tcPr>
            <w:tcW w:type="dxa" w:w="2016"/>
            <w:vAlign w:val="center"/>
          </w:tcPr>
          <w:p>
            <w:pPr>
              <w:spacing w:after="0"/>
            </w:pPr>
            <w:r/>
            <w:r>
              <w:rPr>
                <w:b w:val="0"/>
                <w:sz w:val="17"/>
              </w:rPr>
              <w:t>C23L</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1,390.80</w:t>
            </w:r>
          </w:p>
        </w:tc>
      </w:tr>
      <w:tr>
        <w:tc>
          <w:tcPr>
            <w:tcW w:type="dxa" w:w="2016"/>
            <w:vAlign w:val="center"/>
          </w:tcPr>
          <w:p>
            <w:pPr>
              <w:spacing w:after="0"/>
            </w:pPr>
            <w:r/>
            <w:r>
              <w:rPr>
                <w:b w:val="0"/>
                <w:sz w:val="17"/>
              </w:rPr>
              <w:t>C13</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1,183.92</w:t>
            </w:r>
          </w:p>
        </w:tc>
      </w:tr>
      <w:tr>
        <w:tc>
          <w:tcPr>
            <w:tcW w:type="dxa" w:w="2016"/>
            <w:vAlign w:val="center"/>
          </w:tcPr>
          <w:p>
            <w:pPr>
              <w:spacing w:after="0"/>
            </w:pPr>
            <w:r/>
            <w:r>
              <w:rPr>
                <w:b w:val="0"/>
                <w:sz w:val="17"/>
              </w:rPr>
              <w:t>C43</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1,018.36</w:t>
            </w:r>
          </w:p>
        </w:tc>
      </w:tr>
      <w:tr>
        <w:tc>
          <w:tcPr>
            <w:tcW w:type="dxa" w:w="2016"/>
            <w:vAlign w:val="center"/>
          </w:tcPr>
          <w:p>
            <w:pPr>
              <w:spacing w:after="0"/>
            </w:pPr>
            <w:r/>
            <w:r>
              <w:rPr>
                <w:b w:val="0"/>
                <w:sz w:val="17"/>
              </w:rPr>
              <w:t>C932</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1,014.24</w:t>
            </w:r>
          </w:p>
        </w:tc>
      </w:tr>
      <w:tr>
        <w:tc>
          <w:tcPr>
            <w:tcW w:type="dxa" w:w="2016"/>
            <w:vAlign w:val="center"/>
          </w:tcPr>
          <w:p>
            <w:pPr>
              <w:spacing w:after="0"/>
            </w:pPr>
            <w:r/>
            <w:r>
              <w:rPr>
                <w:b w:val="0"/>
                <w:sz w:val="17"/>
              </w:rPr>
              <w:t>U12</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824.79</w:t>
            </w:r>
          </w:p>
        </w:tc>
      </w:tr>
      <w:tr>
        <w:tc>
          <w:tcPr>
            <w:tcW w:type="dxa" w:w="2016"/>
            <w:vAlign w:val="center"/>
          </w:tcPr>
          <w:p>
            <w:pPr>
              <w:spacing w:after="0"/>
            </w:pPr>
            <w:r/>
            <w:r>
              <w:rPr>
                <w:b w:val="0"/>
                <w:sz w:val="17"/>
              </w:rPr>
              <w:t>U931</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740.09</w:t>
            </w:r>
          </w:p>
        </w:tc>
      </w:tr>
      <w:tr>
        <w:tc>
          <w:tcPr>
            <w:tcW w:type="dxa" w:w="2016"/>
            <w:vAlign w:val="center"/>
          </w:tcPr>
          <w:p>
            <w:pPr>
              <w:spacing w:after="0"/>
            </w:pPr>
            <w:r/>
            <w:r>
              <w:rPr>
                <w:b w:val="0"/>
                <w:sz w:val="17"/>
              </w:rPr>
              <w:t>U23N</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408.80</w:t>
            </w:r>
          </w:p>
        </w:tc>
      </w:tr>
      <w:tr>
        <w:tc>
          <w:tcPr>
            <w:tcW w:type="dxa" w:w="2016"/>
            <w:vAlign w:val="center"/>
          </w:tcPr>
          <w:p>
            <w:pPr>
              <w:spacing w:after="0"/>
            </w:pPr>
            <w:r/>
            <w:r>
              <w:rPr>
                <w:b w:val="0"/>
                <w:sz w:val="17"/>
              </w:rPr>
              <w:t>UH86-S</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32.00</w:t>
            </w:r>
          </w:p>
        </w:tc>
      </w:tr>
    </w:tbl>
    <w:p>
      <w:pPr>
        <w:spacing w:after="0"/>
      </w:pPr>
    </w:p>
    <w:p>
      <w:pPr>
        <w:pStyle w:val="Heading2"/>
        <w:keepNext/>
      </w:pPr>
      <w:r>
        <w:t>Newly unfulfillable under dummy-first</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7365D"/>
          </w:tcPr>
          <w:p>
            <w:pPr>
              <w:spacing w:after="0"/>
            </w:pPr>
            <w:r/>
            <w:r>
              <w:rPr>
                <w:b/>
                <w:color w:val="FFFFFF"/>
                <w:sz w:val="17"/>
              </w:rPr>
              <w:t>Code</w:t>
            </w:r>
          </w:p>
        </w:tc>
        <w:tc>
          <w:tcPr>
            <w:tcW w:type="dxa" w:w="3456"/>
            <w:vAlign w:val="center"/>
            <w:shd w:fill="17365D"/>
          </w:tcPr>
          <w:p>
            <w:pPr>
              <w:spacing w:after="0"/>
            </w:pPr>
            <w:r/>
            <w:r>
              <w:rPr>
                <w:b/>
                <w:color w:val="FFFFFF"/>
                <w:sz w:val="17"/>
              </w:rPr>
              <w:t>Category</w:t>
            </w:r>
          </w:p>
        </w:tc>
        <w:tc>
          <w:tcPr>
            <w:tcW w:type="dxa" w:w="1872"/>
            <w:vAlign w:val="center"/>
            <w:shd w:fill="17365D"/>
          </w:tcPr>
          <w:p>
            <w:pPr>
              <w:spacing w:after="0"/>
            </w:pPr>
            <w:r/>
            <w:r>
              <w:rPr>
                <w:b/>
                <w:color w:val="FFFFFF"/>
                <w:sz w:val="17"/>
              </w:rPr>
              <w:t>Pieces</w:t>
            </w:r>
          </w:p>
        </w:tc>
      </w:tr>
      <w:tr>
        <w:tc>
          <w:tcPr>
            <w:tcW w:type="dxa" w:w="2016"/>
            <w:vAlign w:val="center"/>
          </w:tcPr>
          <w:p>
            <w:pPr>
              <w:spacing w:after="0"/>
            </w:pPr>
            <w:r/>
            <w:r>
              <w:rPr>
                <w:b w:val="0"/>
                <w:sz w:val="17"/>
              </w:rPr>
              <w:t>U23-L</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4,491.59</w:t>
            </w:r>
          </w:p>
        </w:tc>
      </w:tr>
      <w:tr>
        <w:tc>
          <w:tcPr>
            <w:tcW w:type="dxa" w:w="2016"/>
            <w:vAlign w:val="center"/>
          </w:tcPr>
          <w:p>
            <w:pPr>
              <w:spacing w:after="0"/>
            </w:pPr>
            <w:r/>
            <w:r>
              <w:rPr>
                <w:b w:val="0"/>
                <w:sz w:val="17"/>
              </w:rPr>
              <w:t>5712</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3,488.64</w:t>
            </w:r>
          </w:p>
        </w:tc>
      </w:tr>
      <w:tr>
        <w:tc>
          <w:tcPr>
            <w:tcW w:type="dxa" w:w="2016"/>
            <w:vAlign w:val="center"/>
          </w:tcPr>
          <w:p>
            <w:pPr>
              <w:spacing w:after="0"/>
            </w:pPr>
            <w:r/>
            <w:r>
              <w:rPr>
                <w:b w:val="0"/>
                <w:sz w:val="17"/>
              </w:rPr>
              <w:t>U92</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1,807.66</w:t>
            </w:r>
          </w:p>
        </w:tc>
      </w:tr>
      <w:tr>
        <w:tc>
          <w:tcPr>
            <w:tcW w:type="dxa" w:w="2016"/>
            <w:vAlign w:val="center"/>
          </w:tcPr>
          <w:p>
            <w:pPr>
              <w:spacing w:after="0"/>
            </w:pPr>
            <w:r/>
            <w:r>
              <w:rPr>
                <w:b w:val="0"/>
                <w:sz w:val="17"/>
              </w:rPr>
              <w:t>5734</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1,042.79</w:t>
            </w:r>
          </w:p>
        </w:tc>
      </w:tr>
      <w:tr>
        <w:tc>
          <w:tcPr>
            <w:tcW w:type="dxa" w:w="2016"/>
            <w:vAlign w:val="center"/>
          </w:tcPr>
          <w:p>
            <w:pPr>
              <w:spacing w:after="0"/>
            </w:pPr>
            <w:r/>
            <w:r>
              <w:rPr>
                <w:b w:val="0"/>
                <w:sz w:val="17"/>
              </w:rPr>
              <w:t>5721</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925.20</w:t>
            </w:r>
          </w:p>
        </w:tc>
      </w:tr>
      <w:tr>
        <w:tc>
          <w:tcPr>
            <w:tcW w:type="dxa" w:w="2016"/>
            <w:vAlign w:val="center"/>
          </w:tcPr>
          <w:p>
            <w:pPr>
              <w:spacing w:after="0"/>
            </w:pPr>
            <w:r/>
            <w:r>
              <w:rPr>
                <w:b w:val="0"/>
                <w:sz w:val="17"/>
              </w:rPr>
              <w:t>U95</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824.50</w:t>
            </w:r>
          </w:p>
        </w:tc>
      </w:tr>
      <w:tr>
        <w:tc>
          <w:tcPr>
            <w:tcW w:type="dxa" w:w="2016"/>
            <w:vAlign w:val="center"/>
          </w:tcPr>
          <w:p>
            <w:pPr>
              <w:spacing w:after="0"/>
            </w:pPr>
            <w:r/>
            <w:r>
              <w:rPr>
                <w:b w:val="0"/>
                <w:sz w:val="17"/>
              </w:rPr>
              <w:t>5111S</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808.12</w:t>
            </w:r>
          </w:p>
        </w:tc>
      </w:tr>
      <w:tr>
        <w:tc>
          <w:tcPr>
            <w:tcW w:type="dxa" w:w="2016"/>
            <w:vAlign w:val="center"/>
          </w:tcPr>
          <w:p>
            <w:pPr>
              <w:spacing w:after="0"/>
            </w:pPr>
            <w:r/>
            <w:r>
              <w:rPr>
                <w:b w:val="0"/>
                <w:sz w:val="17"/>
              </w:rPr>
              <w:t>5911</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681.11</w:t>
            </w:r>
          </w:p>
        </w:tc>
      </w:tr>
      <w:tr>
        <w:tc>
          <w:tcPr>
            <w:tcW w:type="dxa" w:w="2016"/>
            <w:vAlign w:val="center"/>
          </w:tcPr>
          <w:p>
            <w:pPr>
              <w:spacing w:after="0"/>
            </w:pPr>
            <w:r/>
            <w:r>
              <w:rPr>
                <w:b w:val="0"/>
                <w:sz w:val="17"/>
              </w:rPr>
              <w:t>U275N</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566.87</w:t>
            </w:r>
          </w:p>
        </w:tc>
      </w:tr>
      <w:tr>
        <w:tc>
          <w:tcPr>
            <w:tcW w:type="dxa" w:w="2016"/>
            <w:vAlign w:val="center"/>
          </w:tcPr>
          <w:p>
            <w:pPr>
              <w:spacing w:after="0"/>
            </w:pPr>
            <w:r/>
            <w:r>
              <w:rPr>
                <w:b w:val="0"/>
                <w:sz w:val="17"/>
              </w:rPr>
              <w:t>5141S</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561.65</w:t>
            </w:r>
          </w:p>
        </w:tc>
      </w:tr>
      <w:tr>
        <w:tc>
          <w:tcPr>
            <w:tcW w:type="dxa" w:w="2016"/>
            <w:vAlign w:val="center"/>
          </w:tcPr>
          <w:p>
            <w:pPr>
              <w:spacing w:after="0"/>
            </w:pPr>
            <w:r/>
            <w:r>
              <w:rPr>
                <w:b w:val="0"/>
                <w:sz w:val="17"/>
              </w:rPr>
              <w:t>U274N</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542.60</w:t>
            </w:r>
          </w:p>
        </w:tc>
      </w:tr>
      <w:tr>
        <w:tc>
          <w:tcPr>
            <w:tcW w:type="dxa" w:w="2016"/>
            <w:vAlign w:val="center"/>
          </w:tcPr>
          <w:p>
            <w:pPr>
              <w:spacing w:after="0"/>
            </w:pPr>
            <w:r/>
            <w:r>
              <w:rPr>
                <w:b w:val="0"/>
                <w:sz w:val="17"/>
              </w:rPr>
              <w:t>U504</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534.50</w:t>
            </w:r>
          </w:p>
        </w:tc>
      </w:tr>
      <w:tr>
        <w:tc>
          <w:tcPr>
            <w:tcW w:type="dxa" w:w="2016"/>
            <w:vAlign w:val="center"/>
          </w:tcPr>
          <w:p>
            <w:pPr>
              <w:spacing w:after="0"/>
            </w:pPr>
            <w:r/>
            <w:r>
              <w:rPr>
                <w:b w:val="0"/>
                <w:sz w:val="17"/>
              </w:rPr>
              <w:t>5621</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427.42</w:t>
            </w:r>
          </w:p>
        </w:tc>
      </w:tr>
      <w:tr>
        <w:tc>
          <w:tcPr>
            <w:tcW w:type="dxa" w:w="2016"/>
            <w:vAlign w:val="center"/>
          </w:tcPr>
          <w:p>
            <w:pPr>
              <w:spacing w:after="0"/>
            </w:pPr>
            <w:r/>
            <w:r>
              <w:rPr>
                <w:b w:val="0"/>
                <w:sz w:val="17"/>
              </w:rPr>
              <w:t>UH72</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199.52</w:t>
            </w:r>
          </w:p>
        </w:tc>
      </w:tr>
    </w:tbl>
    <w:p>
      <w:pPr>
        <w:spacing w:after="0"/>
      </w:pPr>
    </w:p>
    <w:p>
      <w:r>
        <w:rPr>
          <w:b/>
        </w:rPr>
        <w:t xml:space="preserve">Component check. </w:t>
      </w:r>
      <w:r>
        <w:t>Every newly unfulfillable row had zero dummy and zero current-order quantity in the frozen inputs. The residual movement is buffer being deprioritised behind dummy/order demand, as designed.</w:t>
      </w:r>
    </w:p>
    <w:p>
      <w:pPr>
        <w:pStyle w:val="Heading1"/>
        <w:keepNext/>
      </w:pPr>
      <w:r>
        <w:t>FR.1.4 — Binding-machine interpretation</w:t>
      </w:r>
    </w:p>
    <w:p>
      <w:r>
        <w:rPr>
          <w:b/>
        </w:rPr>
        <w:t xml:space="preserve">A04 is not a unique physical bottleneck. </w:t>
      </w:r>
      <w:r>
        <w:t>The cascade reports the machine with the smallest remaining W4 capacity as binding. Once all 24 moulding machines are saturated, that label depends on allocation order, floating-point residuals, and tie-breaking. The frozen comparison selected D07; a later live read selected A04. Neither should be presented as the sole constraint.</w:t>
      </w:r>
    </w:p>
    <w:p>
      <w:pPr>
        <w:pStyle w:val="Heading1"/>
        <w:keepNext/>
      </w:pPr>
      <w:r>
        <w:t>FR.2 — MC8 row held by the app</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7365D"/>
          </w:tcPr>
          <w:p>
            <w:pPr>
              <w:spacing w:after="0"/>
            </w:pPr>
            <w:r/>
            <w:r>
              <w:rPr>
                <w:b/>
                <w:color w:val="FFFFFF"/>
                <w:sz w:val="17"/>
              </w:rPr>
              <w:t>Field</w:t>
            </w:r>
          </w:p>
        </w:tc>
        <w:tc>
          <w:tcPr>
            <w:tcW w:type="dxa" w:w="6480"/>
            <w:vAlign w:val="center"/>
            <w:shd w:fill="17365D"/>
          </w:tcPr>
          <w:p>
            <w:pPr>
              <w:spacing w:after="0"/>
            </w:pPr>
            <w:r/>
            <w:r>
              <w:rPr>
                <w:b/>
                <w:color w:val="FFFFFF"/>
                <w:sz w:val="17"/>
              </w:rPr>
              <w:t>Current value</w:t>
            </w:r>
          </w:p>
        </w:tc>
      </w:tr>
      <w:tr>
        <w:tc>
          <w:tcPr>
            <w:tcW w:type="dxa" w:w="3168"/>
            <w:vAlign w:val="center"/>
          </w:tcPr>
          <w:p>
            <w:pPr>
              <w:spacing w:after="0"/>
            </w:pPr>
            <w:r/>
            <w:r>
              <w:rPr>
                <w:b w:val="0"/>
                <w:sz w:val="17"/>
              </w:rPr>
              <w:t>Machine</w:t>
            </w:r>
          </w:p>
        </w:tc>
        <w:tc>
          <w:tcPr>
            <w:tcW w:type="dxa" w:w="6480"/>
            <w:vAlign w:val="center"/>
          </w:tcPr>
          <w:p>
            <w:pPr>
              <w:spacing w:after="0"/>
            </w:pPr>
            <w:r/>
            <w:r>
              <w:rPr>
                <w:b w:val="0"/>
                <w:sz w:val="17"/>
              </w:rPr>
              <w:t>MC8</w:t>
            </w:r>
          </w:p>
        </w:tc>
      </w:tr>
      <w:tr>
        <w:tc>
          <w:tcPr>
            <w:tcW w:type="dxa" w:w="3168"/>
            <w:vAlign w:val="center"/>
          </w:tcPr>
          <w:p>
            <w:pPr>
              <w:spacing w:after="0"/>
            </w:pPr>
            <w:r/>
            <w:r>
              <w:rPr>
                <w:b w:val="0"/>
                <w:sz w:val="17"/>
              </w:rPr>
              <w:t>Pool</w:t>
            </w:r>
          </w:p>
        </w:tc>
        <w:tc>
          <w:tcPr>
            <w:tcW w:type="dxa" w:w="6480"/>
            <w:vAlign w:val="center"/>
          </w:tcPr>
          <w:p>
            <w:pPr>
              <w:spacing w:after="0"/>
            </w:pPr>
            <w:r/>
            <w:r>
              <w:rPr>
                <w:b w:val="0"/>
                <w:sz w:val="17"/>
              </w:rPr>
              <w:t>PIPE</w:t>
            </w:r>
          </w:p>
        </w:tc>
      </w:tr>
      <w:tr>
        <w:tc>
          <w:tcPr>
            <w:tcW w:type="dxa" w:w="3168"/>
            <w:vAlign w:val="center"/>
          </w:tcPr>
          <w:p>
            <w:pPr>
              <w:spacing w:after="0"/>
            </w:pPr>
            <w:r/>
            <w:r>
              <w:rPr>
                <w:b w:val="0"/>
                <w:sz w:val="17"/>
              </w:rPr>
              <w:t>Label</w:t>
            </w:r>
          </w:p>
        </w:tc>
        <w:tc>
          <w:tcPr>
            <w:tcW w:type="dxa" w:w="6480"/>
            <w:vAlign w:val="center"/>
          </w:tcPr>
          <w:p>
            <w:pPr>
              <w:spacing w:after="0"/>
            </w:pPr>
            <w:r/>
            <w:r>
              <w:rPr>
                <w:b w:val="0"/>
                <w:sz w:val="17"/>
              </w:rPr>
              <w:t>M/C-8 (Locked out)</w:t>
            </w:r>
          </w:p>
        </w:tc>
      </w:tr>
      <w:tr>
        <w:tc>
          <w:tcPr>
            <w:tcW w:type="dxa" w:w="3168"/>
            <w:vAlign w:val="center"/>
          </w:tcPr>
          <w:p>
            <w:pPr>
              <w:spacing w:after="0"/>
            </w:pPr>
            <w:r/>
            <w:r>
              <w:rPr>
                <w:b w:val="0"/>
                <w:sz w:val="17"/>
              </w:rPr>
              <w:t>Locked out</w:t>
            </w:r>
          </w:p>
        </w:tc>
        <w:tc>
          <w:tcPr>
            <w:tcW w:type="dxa" w:w="6480"/>
            <w:vAlign w:val="center"/>
          </w:tcPr>
          <w:p>
            <w:pPr>
              <w:spacing w:after="0"/>
            </w:pPr>
            <w:r/>
            <w:r>
              <w:rPr>
                <w:b w:val="0"/>
                <w:sz w:val="17"/>
              </w:rPr>
              <w:t>true</w:t>
            </w:r>
          </w:p>
        </w:tc>
      </w:tr>
      <w:tr>
        <w:tc>
          <w:tcPr>
            <w:tcW w:type="dxa" w:w="3168"/>
            <w:vAlign w:val="center"/>
          </w:tcPr>
          <w:p>
            <w:pPr>
              <w:spacing w:after="0"/>
            </w:pPr>
            <w:r/>
            <w:r>
              <w:rPr>
                <w:b w:val="0"/>
                <w:sz w:val="17"/>
              </w:rPr>
              <w:t>Rates</w:t>
            </w:r>
          </w:p>
        </w:tc>
        <w:tc>
          <w:tcPr>
            <w:tcW w:type="dxa" w:w="6480"/>
            <w:vAlign w:val="center"/>
          </w:tcPr>
          <w:p>
            <w:pPr>
              <w:spacing w:after="0"/>
            </w:pPr>
            <w:r/>
            <w:r>
              <w:rPr>
                <w:b w:val="0"/>
                <w:sz w:val="17"/>
              </w:rPr>
              <w:t>{}</w:t>
            </w:r>
          </w:p>
        </w:tc>
      </w:tr>
      <w:tr>
        <w:tc>
          <w:tcPr>
            <w:tcW w:type="dxa" w:w="3168"/>
            <w:vAlign w:val="center"/>
          </w:tcPr>
          <w:p>
            <w:pPr>
              <w:spacing w:after="0"/>
            </w:pPr>
            <w:r/>
            <w:r>
              <w:rPr>
                <w:b w:val="0"/>
                <w:sz w:val="17"/>
              </w:rPr>
              <w:t>Shifts/day</w:t>
            </w:r>
          </w:p>
        </w:tc>
        <w:tc>
          <w:tcPr>
            <w:tcW w:type="dxa" w:w="6480"/>
            <w:vAlign w:val="center"/>
          </w:tcPr>
          <w:p>
            <w:pPr>
              <w:spacing w:after="0"/>
            </w:pPr>
            <w:r/>
            <w:r>
              <w:rPr>
                <w:b w:val="0"/>
                <w:sz w:val="17"/>
              </w:rPr>
              <w:t>2</w:t>
            </w:r>
          </w:p>
        </w:tc>
      </w:tr>
      <w:tr>
        <w:tc>
          <w:tcPr>
            <w:tcW w:type="dxa" w:w="3168"/>
            <w:vAlign w:val="center"/>
          </w:tcPr>
          <w:p>
            <w:pPr>
              <w:spacing w:after="0"/>
            </w:pPr>
            <w:r/>
            <w:r>
              <w:rPr>
                <w:b w:val="0"/>
                <w:sz w:val="17"/>
              </w:rPr>
              <w:t>Hours/shift</w:t>
            </w:r>
          </w:p>
        </w:tc>
        <w:tc>
          <w:tcPr>
            <w:tcW w:type="dxa" w:w="6480"/>
            <w:vAlign w:val="center"/>
          </w:tcPr>
          <w:p>
            <w:pPr>
              <w:spacing w:after="0"/>
            </w:pPr>
            <w:r/>
            <w:r>
              <w:rPr>
                <w:b w:val="0"/>
                <w:sz w:val="17"/>
              </w:rPr>
              <w:t>10</w:t>
            </w:r>
          </w:p>
        </w:tc>
      </w:tr>
      <w:tr>
        <w:tc>
          <w:tcPr>
            <w:tcW w:type="dxa" w:w="3168"/>
            <w:vAlign w:val="center"/>
          </w:tcPr>
          <w:p>
            <w:pPr>
              <w:spacing w:after="0"/>
            </w:pPr>
            <w:r/>
            <w:r>
              <w:rPr>
                <w:b w:val="0"/>
                <w:sz w:val="17"/>
              </w:rPr>
              <w:t>Working days</w:t>
            </w:r>
          </w:p>
        </w:tc>
        <w:tc>
          <w:tcPr>
            <w:tcW w:type="dxa" w:w="6480"/>
            <w:vAlign w:val="center"/>
          </w:tcPr>
          <w:p>
            <w:pPr>
              <w:spacing w:after="0"/>
            </w:pPr>
            <w:r/>
            <w:r>
              <w:rPr>
                <w:b w:val="0"/>
                <w:sz w:val="17"/>
              </w:rPr>
              <w:t>25</w:t>
            </w:r>
          </w:p>
        </w:tc>
      </w:tr>
    </w:tbl>
    <w:p>
      <w:pPr>
        <w:spacing w:after="0"/>
      </w:pPr>
    </w:p>
    <w:p>
      <w:r>
        <w:rPr>
          <w:b/>
        </w:rPr>
        <w:t xml:space="preserve">Update/source limitation. </w:t>
      </w:r>
      <w:r>
        <w:t>The plumbing_machine_capacity schema has no updatedAt or source-tracking field. The current row is application-seeded by seedPlumbingMachines, whose inserts use conflict-ignore. The app therefore cannot report a reliable last-modified timestamp or a plant-app source for this row.</w:t>
      </w:r>
    </w:p>
    <w:p>
      <w:r>
        <w:rPr>
          <w:b/>
        </w:rPr>
        <w:t xml:space="preserve">Capacity implication. </w:t>
      </w:r>
      <w:r>
        <w:t>If MC8 were enabled and given a valid route/rate, it represents 500 configured pipe-pool hours per month (2 × 10 × 25). It is a PIPE machine, not a MOULDING machine, so it cannot relieve the fitting shortfall. With rates still empty, unlocking alone would not create usable production capacity.</w:t>
      </w:r>
    </w:p>
    <w:p>
      <w:pPr>
        <w:pStyle w:val="Heading1"/>
        <w:keepNext/>
      </w:pPr>
      <w:r>
        <w:t>FR.3 — Frozen September shortfall for Prayag</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17365D"/>
          </w:tcPr>
          <w:p>
            <w:pPr>
              <w:spacing w:after="0"/>
            </w:pPr>
            <w:r/>
            <w:r>
              <w:rPr>
                <w:b/>
                <w:color w:val="FFFFFF"/>
                <w:sz w:val="17"/>
              </w:rPr>
              <w:t>Category</w:t>
            </w:r>
          </w:p>
        </w:tc>
        <w:tc>
          <w:tcPr>
            <w:tcW w:type="dxa" w:w="2880"/>
            <w:vAlign w:val="center"/>
            <w:shd w:fill="17365D"/>
          </w:tcPr>
          <w:p>
            <w:pPr>
              <w:spacing w:after="0"/>
            </w:pPr>
            <w:r/>
            <w:r>
              <w:rPr>
                <w:b/>
                <w:color w:val="FFFFFF"/>
                <w:sz w:val="17"/>
              </w:rPr>
              <w:t>Unfulfillable pieces</w:t>
            </w:r>
          </w:p>
        </w:tc>
      </w:tr>
      <w:tr>
        <w:tc>
          <w:tcPr>
            <w:tcW w:type="dxa" w:w="5040"/>
            <w:vAlign w:val="center"/>
          </w:tcPr>
          <w:p>
            <w:pPr>
              <w:spacing w:after="0"/>
            </w:pPr>
            <w:r/>
            <w:r>
              <w:rPr>
                <w:b w:val="0"/>
                <w:sz w:val="17"/>
              </w:rPr>
              <w:t>CPVC Fitting</w:t>
            </w:r>
          </w:p>
        </w:tc>
        <w:tc>
          <w:tcPr>
            <w:tcW w:type="dxa" w:w="2880"/>
            <w:vAlign w:val="center"/>
          </w:tcPr>
          <w:p>
            <w:pPr>
              <w:spacing w:after="0"/>
            </w:pPr>
            <w:r/>
            <w:r>
              <w:rPr>
                <w:b w:val="0"/>
                <w:sz w:val="17"/>
              </w:rPr>
              <w:t>13,486.96</w:t>
            </w:r>
          </w:p>
        </w:tc>
      </w:tr>
      <w:tr>
        <w:tc>
          <w:tcPr>
            <w:tcW w:type="dxa" w:w="5040"/>
            <w:vAlign w:val="center"/>
          </w:tcPr>
          <w:p>
            <w:pPr>
              <w:spacing w:after="0"/>
            </w:pPr>
            <w:r/>
            <w:r>
              <w:rPr>
                <w:b w:val="0"/>
                <w:sz w:val="17"/>
              </w:rPr>
              <w:t>UPVC Fitting</w:t>
            </w:r>
          </w:p>
        </w:tc>
        <w:tc>
          <w:tcPr>
            <w:tcW w:type="dxa" w:w="2880"/>
            <w:vAlign w:val="center"/>
          </w:tcPr>
          <w:p>
            <w:pPr>
              <w:spacing w:after="0"/>
            </w:pPr>
            <w:r/>
            <w:r>
              <w:rPr>
                <w:b w:val="0"/>
                <w:sz w:val="17"/>
              </w:rPr>
              <w:t>20,998.89</w:t>
            </w:r>
          </w:p>
        </w:tc>
      </w:tr>
      <w:tr>
        <w:tc>
          <w:tcPr>
            <w:tcW w:type="dxa" w:w="5040"/>
            <w:vAlign w:val="center"/>
          </w:tcPr>
          <w:p>
            <w:pPr>
              <w:spacing w:after="0"/>
            </w:pPr>
            <w:r/>
            <w:r>
              <w:rPr>
                <w:b w:val="0"/>
                <w:sz w:val="17"/>
              </w:rPr>
              <w:t>SWR Fitting</w:t>
            </w:r>
          </w:p>
        </w:tc>
        <w:tc>
          <w:tcPr>
            <w:tcW w:type="dxa" w:w="2880"/>
            <w:vAlign w:val="center"/>
          </w:tcPr>
          <w:p>
            <w:pPr>
              <w:spacing w:after="0"/>
            </w:pPr>
            <w:r/>
            <w:r>
              <w:rPr>
                <w:b w:val="0"/>
                <w:sz w:val="17"/>
              </w:rPr>
              <w:t>12,490.79</w:t>
            </w:r>
          </w:p>
        </w:tc>
      </w:tr>
      <w:tr>
        <w:tc>
          <w:tcPr>
            <w:tcW w:type="dxa" w:w="5040"/>
            <w:vAlign w:val="center"/>
          </w:tcPr>
          <w:p>
            <w:pPr>
              <w:spacing w:after="0"/>
            </w:pPr>
            <w:r/>
            <w:r>
              <w:rPr>
                <w:b w:val="0"/>
                <w:sz w:val="17"/>
              </w:rPr>
              <w:t>AGRI Fitting</w:t>
            </w:r>
          </w:p>
        </w:tc>
        <w:tc>
          <w:tcPr>
            <w:tcW w:type="dxa" w:w="2880"/>
            <w:vAlign w:val="center"/>
          </w:tcPr>
          <w:p>
            <w:pPr>
              <w:spacing w:after="0"/>
            </w:pPr>
            <w:r/>
            <w:r>
              <w:rPr>
                <w:b w:val="0"/>
                <w:sz w:val="17"/>
              </w:rPr>
              <w:t>2,356.94</w:t>
            </w:r>
          </w:p>
        </w:tc>
      </w:tr>
      <w:tr>
        <w:tc>
          <w:tcPr>
            <w:tcW w:type="dxa" w:w="5040"/>
            <w:vAlign w:val="center"/>
          </w:tcPr>
          <w:p>
            <w:pPr>
              <w:spacing w:after="0"/>
            </w:pPr>
            <w:r/>
            <w:r>
              <w:rPr>
                <w:b w:val="0"/>
                <w:sz w:val="17"/>
              </w:rPr>
              <w:t>Total</w:t>
            </w:r>
          </w:p>
        </w:tc>
        <w:tc>
          <w:tcPr>
            <w:tcW w:type="dxa" w:w="2880"/>
            <w:vAlign w:val="center"/>
          </w:tcPr>
          <w:p>
            <w:pPr>
              <w:spacing w:after="0"/>
            </w:pPr>
            <w:r/>
            <w:r>
              <w:rPr>
                <w:b w:val="0"/>
                <w:sz w:val="17"/>
              </w:rPr>
              <w:t>49,333.58</w:t>
            </w:r>
          </w:p>
        </w:tc>
      </w:tr>
    </w:tbl>
    <w:p>
      <w:pPr>
        <w:spacing w:after="0"/>
      </w:pPr>
    </w:p>
    <w:p>
      <w:pPr>
        <w:pStyle w:val="Heading2"/>
        <w:keepNext/>
      </w:pPr>
      <w:r>
        <w:t>Top 20 residual item codes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7365D"/>
          </w:tcPr>
          <w:p>
            <w:pPr>
              <w:spacing w:after="0"/>
            </w:pPr>
            <w:r/>
            <w:r>
              <w:rPr>
                <w:b/>
                <w:color w:val="FFFFFF"/>
                <w:sz w:val="17"/>
              </w:rPr>
              <w:t>Code</w:t>
            </w:r>
          </w:p>
        </w:tc>
        <w:tc>
          <w:tcPr>
            <w:tcW w:type="dxa" w:w="3456"/>
            <w:vAlign w:val="center"/>
            <w:shd w:fill="17365D"/>
          </w:tcPr>
          <w:p>
            <w:pPr>
              <w:spacing w:after="0"/>
            </w:pPr>
            <w:r/>
            <w:r>
              <w:rPr>
                <w:b/>
                <w:color w:val="FFFFFF"/>
                <w:sz w:val="17"/>
              </w:rPr>
              <w:t>Category</w:t>
            </w:r>
          </w:p>
        </w:tc>
        <w:tc>
          <w:tcPr>
            <w:tcW w:type="dxa" w:w="1872"/>
            <w:vAlign w:val="center"/>
            <w:shd w:fill="17365D"/>
          </w:tcPr>
          <w:p>
            <w:pPr>
              <w:spacing w:after="0"/>
            </w:pPr>
            <w:r/>
            <w:r>
              <w:rPr>
                <w:b/>
                <w:color w:val="FFFFFF"/>
                <w:sz w:val="17"/>
              </w:rPr>
              <w:t>Pieces</w:t>
            </w:r>
          </w:p>
        </w:tc>
      </w:tr>
      <w:tr>
        <w:tc>
          <w:tcPr>
            <w:tcW w:type="dxa" w:w="2016"/>
            <w:vAlign w:val="center"/>
          </w:tcPr>
          <w:p>
            <w:pPr>
              <w:spacing w:after="0"/>
            </w:pPr>
            <w:r/>
            <w:r>
              <w:rPr>
                <w:b w:val="0"/>
                <w:sz w:val="17"/>
              </w:rPr>
              <w:t>C832</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5,161.92</w:t>
            </w:r>
          </w:p>
        </w:tc>
      </w:tr>
      <w:tr>
        <w:tc>
          <w:tcPr>
            <w:tcW w:type="dxa" w:w="2016"/>
            <w:vAlign w:val="center"/>
          </w:tcPr>
          <w:p>
            <w:pPr>
              <w:spacing w:after="0"/>
            </w:pPr>
            <w:r/>
            <w:r>
              <w:rPr>
                <w:b w:val="0"/>
                <w:sz w:val="17"/>
              </w:rPr>
              <w:t>U23-L</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4,491.59</w:t>
            </w:r>
          </w:p>
        </w:tc>
      </w:tr>
      <w:tr>
        <w:tc>
          <w:tcPr>
            <w:tcW w:type="dxa" w:w="2016"/>
            <w:vAlign w:val="center"/>
          </w:tcPr>
          <w:p>
            <w:pPr>
              <w:spacing w:after="0"/>
            </w:pPr>
            <w:r/>
            <w:r>
              <w:rPr>
                <w:b w:val="0"/>
                <w:sz w:val="17"/>
              </w:rPr>
              <w:t>5712</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3,488.64</w:t>
            </w:r>
          </w:p>
        </w:tc>
      </w:tr>
      <w:tr>
        <w:tc>
          <w:tcPr>
            <w:tcW w:type="dxa" w:w="2016"/>
            <w:vAlign w:val="center"/>
          </w:tcPr>
          <w:p>
            <w:pPr>
              <w:spacing w:after="0"/>
            </w:pPr>
            <w:r/>
            <w:r>
              <w:rPr>
                <w:b w:val="0"/>
                <w:sz w:val="17"/>
              </w:rPr>
              <w:t>C103</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2,557.08</w:t>
            </w:r>
          </w:p>
        </w:tc>
      </w:tr>
      <w:tr>
        <w:tc>
          <w:tcPr>
            <w:tcW w:type="dxa" w:w="2016"/>
            <w:vAlign w:val="center"/>
          </w:tcPr>
          <w:p>
            <w:pPr>
              <w:spacing w:after="0"/>
            </w:pPr>
            <w:r/>
            <w:r>
              <w:rPr>
                <w:b w:val="0"/>
                <w:sz w:val="17"/>
              </w:rPr>
              <w:t>U101</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2,151.00</w:t>
            </w:r>
          </w:p>
        </w:tc>
      </w:tr>
      <w:tr>
        <w:tc>
          <w:tcPr>
            <w:tcW w:type="dxa" w:w="2016"/>
            <w:vAlign w:val="center"/>
          </w:tcPr>
          <w:p>
            <w:pPr>
              <w:spacing w:after="0"/>
            </w:pPr>
            <w:r/>
            <w:r>
              <w:rPr>
                <w:b w:val="0"/>
                <w:sz w:val="17"/>
              </w:rPr>
              <w:t>U91</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1,878.59</w:t>
            </w:r>
          </w:p>
        </w:tc>
      </w:tr>
      <w:tr>
        <w:tc>
          <w:tcPr>
            <w:tcW w:type="dxa" w:w="2016"/>
            <w:vAlign w:val="center"/>
          </w:tcPr>
          <w:p>
            <w:pPr>
              <w:spacing w:after="0"/>
            </w:pPr>
            <w:r/>
            <w:r>
              <w:rPr>
                <w:b w:val="0"/>
                <w:sz w:val="17"/>
              </w:rPr>
              <w:t>U92</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1,807.66</w:t>
            </w:r>
          </w:p>
        </w:tc>
      </w:tr>
      <w:tr>
        <w:tc>
          <w:tcPr>
            <w:tcW w:type="dxa" w:w="2016"/>
            <w:vAlign w:val="center"/>
          </w:tcPr>
          <w:p>
            <w:pPr>
              <w:spacing w:after="0"/>
            </w:pPr>
            <w:r/>
            <w:r>
              <w:rPr>
                <w:b w:val="0"/>
                <w:sz w:val="17"/>
              </w:rPr>
              <w:t>U832</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1,681.41</w:t>
            </w:r>
          </w:p>
        </w:tc>
      </w:tr>
      <w:tr>
        <w:tc>
          <w:tcPr>
            <w:tcW w:type="dxa" w:w="2016"/>
            <w:vAlign w:val="center"/>
          </w:tcPr>
          <w:p>
            <w:pPr>
              <w:spacing w:after="0"/>
            </w:pPr>
            <w:r/>
            <w:r>
              <w:rPr>
                <w:b w:val="0"/>
                <w:sz w:val="17"/>
              </w:rPr>
              <w:t>5163-W</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1,547.52</w:t>
            </w:r>
          </w:p>
        </w:tc>
      </w:tr>
      <w:tr>
        <w:tc>
          <w:tcPr>
            <w:tcW w:type="dxa" w:w="2016"/>
            <w:vAlign w:val="center"/>
          </w:tcPr>
          <w:p>
            <w:pPr>
              <w:spacing w:after="0"/>
            </w:pPr>
            <w:r/>
            <w:r>
              <w:rPr>
                <w:b w:val="0"/>
                <w:sz w:val="17"/>
              </w:rPr>
              <w:t>U502</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1,483.41</w:t>
            </w:r>
          </w:p>
        </w:tc>
      </w:tr>
      <w:tr>
        <w:tc>
          <w:tcPr>
            <w:tcW w:type="dxa" w:w="2016"/>
            <w:vAlign w:val="center"/>
          </w:tcPr>
          <w:p>
            <w:pPr>
              <w:spacing w:after="0"/>
            </w:pPr>
            <w:r/>
            <w:r>
              <w:rPr>
                <w:b w:val="0"/>
                <w:sz w:val="17"/>
              </w:rPr>
              <w:t>U32</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1,338.71</w:t>
            </w:r>
          </w:p>
        </w:tc>
      </w:tr>
      <w:tr>
        <w:tc>
          <w:tcPr>
            <w:tcW w:type="dxa" w:w="2016"/>
            <w:vAlign w:val="center"/>
          </w:tcPr>
          <w:p>
            <w:pPr>
              <w:spacing w:after="0"/>
            </w:pPr>
            <w:r/>
            <w:r>
              <w:rPr>
                <w:b w:val="0"/>
                <w:sz w:val="17"/>
              </w:rPr>
              <w:t>C702</w:t>
            </w:r>
          </w:p>
        </w:tc>
        <w:tc>
          <w:tcPr>
            <w:tcW w:type="dxa" w:w="3456"/>
            <w:vAlign w:val="center"/>
          </w:tcPr>
          <w:p>
            <w:pPr>
              <w:spacing w:after="0"/>
            </w:pPr>
            <w:r/>
            <w:r>
              <w:rPr>
                <w:b w:val="0"/>
                <w:sz w:val="17"/>
              </w:rPr>
              <w:t>CPVC Fitting</w:t>
            </w:r>
          </w:p>
        </w:tc>
        <w:tc>
          <w:tcPr>
            <w:tcW w:type="dxa" w:w="1872"/>
            <w:vAlign w:val="center"/>
          </w:tcPr>
          <w:p>
            <w:pPr>
              <w:spacing w:after="0"/>
            </w:pPr>
            <w:r/>
            <w:r>
              <w:rPr>
                <w:b w:val="0"/>
                <w:sz w:val="17"/>
              </w:rPr>
              <w:t>1,184.00</w:t>
            </w:r>
          </w:p>
        </w:tc>
      </w:tr>
      <w:tr>
        <w:tc>
          <w:tcPr>
            <w:tcW w:type="dxa" w:w="2016"/>
            <w:vAlign w:val="center"/>
          </w:tcPr>
          <w:p>
            <w:pPr>
              <w:spacing w:after="0"/>
            </w:pPr>
            <w:r/>
            <w:r>
              <w:rPr>
                <w:b w:val="0"/>
                <w:sz w:val="17"/>
              </w:rPr>
              <w:t>5134</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1,181.65</w:t>
            </w:r>
          </w:p>
        </w:tc>
      </w:tr>
      <w:tr>
        <w:tc>
          <w:tcPr>
            <w:tcW w:type="dxa" w:w="2016"/>
            <w:vAlign w:val="center"/>
          </w:tcPr>
          <w:p>
            <w:pPr>
              <w:spacing w:after="0"/>
            </w:pPr>
            <w:r/>
            <w:r>
              <w:rPr>
                <w:b w:val="0"/>
                <w:sz w:val="17"/>
              </w:rPr>
              <w:t>5734</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1,042.79</w:t>
            </w:r>
          </w:p>
        </w:tc>
      </w:tr>
      <w:tr>
        <w:tc>
          <w:tcPr>
            <w:tcW w:type="dxa" w:w="2016"/>
            <w:vAlign w:val="center"/>
          </w:tcPr>
          <w:p>
            <w:pPr>
              <w:spacing w:after="0"/>
            </w:pPr>
            <w:r/>
            <w:r>
              <w:rPr>
                <w:b w:val="0"/>
                <w:sz w:val="17"/>
              </w:rPr>
              <w:t>5721</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925.20</w:t>
            </w:r>
          </w:p>
        </w:tc>
      </w:tr>
      <w:tr>
        <w:tc>
          <w:tcPr>
            <w:tcW w:type="dxa" w:w="2016"/>
            <w:vAlign w:val="center"/>
          </w:tcPr>
          <w:p>
            <w:pPr>
              <w:spacing w:after="0"/>
            </w:pPr>
            <w:r/>
            <w:r>
              <w:rPr>
                <w:b w:val="0"/>
                <w:sz w:val="17"/>
              </w:rPr>
              <w:t>U95</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824.50</w:t>
            </w:r>
          </w:p>
        </w:tc>
      </w:tr>
      <w:tr>
        <w:tc>
          <w:tcPr>
            <w:tcW w:type="dxa" w:w="2016"/>
            <w:vAlign w:val="center"/>
          </w:tcPr>
          <w:p>
            <w:pPr>
              <w:spacing w:after="0"/>
            </w:pPr>
            <w:r/>
            <w:r>
              <w:rPr>
                <w:b w:val="0"/>
                <w:sz w:val="17"/>
              </w:rPr>
              <w:t>5111S</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808.12</w:t>
            </w:r>
          </w:p>
        </w:tc>
      </w:tr>
      <w:tr>
        <w:tc>
          <w:tcPr>
            <w:tcW w:type="dxa" w:w="2016"/>
            <w:vAlign w:val="center"/>
          </w:tcPr>
          <w:p>
            <w:pPr>
              <w:spacing w:after="0"/>
            </w:pPr>
            <w:r/>
            <w:r>
              <w:rPr>
                <w:b w:val="0"/>
                <w:sz w:val="17"/>
              </w:rPr>
              <w:t>U221</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785.91</w:t>
            </w:r>
          </w:p>
        </w:tc>
      </w:tr>
      <w:tr>
        <w:tc>
          <w:tcPr>
            <w:tcW w:type="dxa" w:w="2016"/>
            <w:vAlign w:val="center"/>
          </w:tcPr>
          <w:p>
            <w:pPr>
              <w:spacing w:after="0"/>
            </w:pPr>
            <w:r/>
            <w:r>
              <w:rPr>
                <w:b w:val="0"/>
                <w:sz w:val="17"/>
              </w:rPr>
              <w:t>U930</w:t>
            </w:r>
          </w:p>
        </w:tc>
        <w:tc>
          <w:tcPr>
            <w:tcW w:type="dxa" w:w="3456"/>
            <w:vAlign w:val="center"/>
          </w:tcPr>
          <w:p>
            <w:pPr>
              <w:spacing w:after="0"/>
            </w:pPr>
            <w:r/>
            <w:r>
              <w:rPr>
                <w:b w:val="0"/>
                <w:sz w:val="17"/>
              </w:rPr>
              <w:t>UPVC Fitting</w:t>
            </w:r>
          </w:p>
        </w:tc>
        <w:tc>
          <w:tcPr>
            <w:tcW w:type="dxa" w:w="1872"/>
            <w:vAlign w:val="center"/>
          </w:tcPr>
          <w:p>
            <w:pPr>
              <w:spacing w:after="0"/>
            </w:pPr>
            <w:r/>
            <w:r>
              <w:rPr>
                <w:b w:val="0"/>
                <w:sz w:val="17"/>
              </w:rPr>
              <w:t>728.00</w:t>
            </w:r>
          </w:p>
        </w:tc>
      </w:tr>
      <w:tr>
        <w:tc>
          <w:tcPr>
            <w:tcW w:type="dxa" w:w="2016"/>
            <w:vAlign w:val="center"/>
          </w:tcPr>
          <w:p>
            <w:pPr>
              <w:spacing w:after="0"/>
            </w:pPr>
            <w:r/>
            <w:r>
              <w:rPr>
                <w:b w:val="0"/>
                <w:sz w:val="17"/>
              </w:rPr>
              <w:t>5911</w:t>
            </w:r>
          </w:p>
        </w:tc>
        <w:tc>
          <w:tcPr>
            <w:tcW w:type="dxa" w:w="3456"/>
            <w:vAlign w:val="center"/>
          </w:tcPr>
          <w:p>
            <w:pPr>
              <w:spacing w:after="0"/>
            </w:pPr>
            <w:r/>
            <w:r>
              <w:rPr>
                <w:b w:val="0"/>
                <w:sz w:val="17"/>
              </w:rPr>
              <w:t>SWR Fitting</w:t>
            </w:r>
          </w:p>
        </w:tc>
        <w:tc>
          <w:tcPr>
            <w:tcW w:type="dxa" w:w="1872"/>
            <w:vAlign w:val="center"/>
          </w:tcPr>
          <w:p>
            <w:pPr>
              <w:spacing w:after="0"/>
            </w:pPr>
            <w:r/>
            <w:r>
              <w:rPr>
                <w:b w:val="0"/>
                <w:sz w:val="17"/>
              </w:rPr>
              <w:t>681.11</w:t>
            </w:r>
          </w:p>
        </w:tc>
      </w:tr>
    </w:tbl>
    <w:p>
      <w:pPr>
        <w:spacing w:after="0"/>
      </w:pPr>
    </w:p>
    <w:p>
      <w:pPr>
        <w:pStyle w:val="Heading1"/>
        <w:keepNext/>
      </w:pPr>
      <w:r>
        <w:t>Question assembled for Prayag — not sent</w:t>
      </w:r>
    </w:p>
    <w:p>
      <w:pPr>
        <w:ind w:left="432" w:right="432"/>
      </w:pPr>
      <w:r>
        <w:rPr>
          <w:i/>
        </w:rPr>
        <w:t>September Plumbing has approximately 49,334 fitting pieces that cannot be made under the current two-shift assumptions, even with all 24 moulding machines saturated every week. The shortfall is CPVC 13,487, UPVC 20,999, SWR 12,491, and AGRI 2,357 pieces. Should part of this demand be deferred to October, or is additional fitting capacity available? The current pipe-pool spare capacity cannot substitute for moulding capacity.</w:t>
      </w:r>
    </w:p>
    <w:p>
      <w:pPr>
        <w:spacing w:before="240"/>
      </w:pPr>
      <w:r>
        <w:rPr>
          <w:b/>
        </w:rPr>
        <w:t xml:space="preserve">Verification note: </w:t>
      </w:r>
      <w:r>
        <w:t>The comparison was performed in memory using the persisted #2574 rows, the stored Plumbing release bands, and one identical machine snapshot for both orderings. No database writes were performed.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Prayag India · Plumbing frozen cascade reconciliation · Read-only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